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2019级五年制小学教育专业人才培养方案</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（修订版）</w:t>
      </w:r>
    </w:p>
    <w:p>
      <w:pPr>
        <w:spacing w:line="560" w:lineRule="exact"/>
        <w:jc w:val="center"/>
        <w:rPr>
          <w:rFonts w:ascii="方正小标宋简体" w:eastAsia="方正小标宋简体"/>
          <w:sz w:val="44"/>
          <w:szCs w:val="44"/>
        </w:rPr>
      </w:pPr>
    </w:p>
    <w:p>
      <w:pPr>
        <w:spacing w:line="560" w:lineRule="exact"/>
        <w:rPr>
          <w:rFonts w:ascii="黑体" w:hAnsi="黑体" w:eastAsia="黑体"/>
          <w:sz w:val="32"/>
          <w:szCs w:val="32"/>
        </w:rPr>
      </w:pPr>
      <w:r>
        <w:rPr>
          <w:rFonts w:hint="eastAsia" w:ascii="黑体" w:hAnsi="黑体" w:eastAsia="黑体"/>
          <w:sz w:val="32"/>
          <w:szCs w:val="32"/>
        </w:rPr>
        <w:t xml:space="preserve">一、专业名称及代码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小学教育</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670103K</w:t>
      </w:r>
    </w:p>
    <w:p>
      <w:pPr>
        <w:spacing w:line="560" w:lineRule="exact"/>
        <w:rPr>
          <w:rFonts w:ascii="黑体" w:hAnsi="黑体" w:eastAsia="黑体"/>
          <w:sz w:val="32"/>
          <w:szCs w:val="32"/>
        </w:rPr>
      </w:pPr>
      <w:r>
        <w:rPr>
          <w:rFonts w:hint="eastAsia" w:ascii="黑体" w:hAnsi="黑体" w:eastAsia="黑体"/>
          <w:sz w:val="32"/>
          <w:szCs w:val="32"/>
        </w:rPr>
        <w:t>二、入学要求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三年制应届初中毕业生</w:t>
      </w:r>
    </w:p>
    <w:p>
      <w:pPr>
        <w:spacing w:line="560" w:lineRule="exact"/>
        <w:rPr>
          <w:rFonts w:ascii="黑体" w:hAnsi="黑体" w:eastAsia="黑体"/>
          <w:sz w:val="32"/>
          <w:szCs w:val="32"/>
        </w:rPr>
      </w:pPr>
      <w:r>
        <w:rPr>
          <w:rFonts w:hint="eastAsia" w:ascii="黑体" w:hAnsi="黑体" w:eastAsia="黑体"/>
          <w:sz w:val="32"/>
          <w:szCs w:val="32"/>
        </w:rPr>
        <w:t>三、修业年限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全日制五年 </w:t>
      </w:r>
    </w:p>
    <w:p>
      <w:pPr>
        <w:spacing w:line="560" w:lineRule="exact"/>
        <w:rPr>
          <w:rFonts w:ascii="黑体" w:hAnsi="黑体" w:eastAsia="黑体"/>
          <w:sz w:val="32"/>
          <w:szCs w:val="32"/>
        </w:rPr>
      </w:pPr>
      <w:r>
        <w:rPr>
          <w:rFonts w:hint="eastAsia" w:ascii="黑体" w:hAnsi="黑体" w:eastAsia="黑体"/>
          <w:sz w:val="32"/>
          <w:szCs w:val="32"/>
        </w:rPr>
        <w:t xml:space="preserve">四、职业面向 </w:t>
      </w:r>
    </w:p>
    <w:p>
      <w:pPr>
        <w:spacing w:line="560" w:lineRule="exact"/>
        <w:ind w:firstLine="640" w:firstLineChars="200"/>
        <w:rPr>
          <w:rFonts w:ascii="仿宋_GB2312" w:eastAsia="仿宋_GB2312"/>
          <w:sz w:val="32"/>
          <w:szCs w:val="32"/>
        </w:rPr>
      </w:pPr>
      <w:bookmarkStart w:id="0" w:name="_Hlk76890128"/>
      <w:r>
        <w:rPr>
          <w:rFonts w:hint="eastAsia" w:ascii="仿宋_GB2312" w:eastAsia="仿宋_GB2312"/>
          <w:sz w:val="32"/>
          <w:szCs w:val="32"/>
        </w:rPr>
        <w:t>本专业培养理想信念坚定，德、智、体、美、劳全面发展，</w:t>
      </w:r>
      <w:bookmarkEnd w:id="0"/>
      <w:r>
        <w:rPr>
          <w:rFonts w:hint="eastAsia" w:ascii="仿宋_GB2312" w:eastAsia="仿宋_GB2312"/>
          <w:sz w:val="32"/>
          <w:szCs w:val="32"/>
        </w:rPr>
        <w:t>具有现代教育理念，</w:t>
      </w:r>
      <w:r>
        <w:rPr>
          <w:rFonts w:ascii="仿宋_GB2312" w:eastAsia="仿宋_GB2312"/>
          <w:sz w:val="32"/>
          <w:szCs w:val="32"/>
        </w:rPr>
        <w:t>具备良好的科学与人文素养，</w:t>
      </w:r>
      <w:r>
        <w:rPr>
          <w:rFonts w:hint="eastAsia" w:ascii="仿宋_GB2312" w:eastAsia="仿宋_GB2312"/>
          <w:sz w:val="32"/>
          <w:szCs w:val="32"/>
        </w:rPr>
        <w:t>把握小学生身心发展规律和小学教育教学规律，</w:t>
      </w:r>
      <w:r>
        <w:rPr>
          <w:rFonts w:ascii="仿宋_GB2312" w:eastAsia="仿宋_GB2312"/>
          <w:sz w:val="32"/>
          <w:szCs w:val="32"/>
        </w:rPr>
        <w:t>掌握小学教育专业基本理论、基本知识和基本技能，</w:t>
      </w:r>
      <w:r>
        <w:rPr>
          <w:rFonts w:hint="eastAsia" w:ascii="仿宋_GB2312" w:eastAsia="仿宋_GB2312"/>
          <w:sz w:val="32"/>
          <w:szCs w:val="32"/>
        </w:rPr>
        <w:t>能够胜任小学各主要学科和综合实践课程的教育教学，</w:t>
      </w:r>
      <w:r>
        <w:rPr>
          <w:rFonts w:ascii="仿宋_GB2312" w:eastAsia="仿宋_GB2312"/>
          <w:sz w:val="32"/>
          <w:szCs w:val="32"/>
        </w:rPr>
        <w:t>具有较强实践能力和创新精神，能在各类小学从事相关小学教育教学、教学研究和管理工作，能适应地方社会经济发展以及基础教育课程改革需要的高素质应用型小学教育工作者。</w:t>
      </w:r>
      <w:r>
        <w:rPr>
          <w:rFonts w:hint="eastAsia" w:ascii="仿宋_GB2312" w:eastAsia="仿宋_GB2312"/>
          <w:sz w:val="32"/>
          <w:szCs w:val="32"/>
        </w:rPr>
        <w:t>具体职业方向：</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（一）小学语文、小学数学及其他有关学科教师；</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（二）小学班主任或教育行政管理工作；</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（三）学校之外教育职能部门的管理工作；</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（四）相关部门的语文文字、文书、小学教研、科研工作等。</w:t>
      </w:r>
    </w:p>
    <w:tbl>
      <w:tblPr>
        <w:tblStyle w:val="12"/>
        <w:tblW w:w="8472" w:type="dxa"/>
        <w:tblInd w:w="0" w:type="dxa"/>
        <w:tblLayout w:type="fixed"/>
        <w:tblCellMar>
          <w:top w:w="0" w:type="dxa"/>
          <w:left w:w="108" w:type="dxa"/>
          <w:bottom w:w="0" w:type="dxa"/>
          <w:right w:w="108" w:type="dxa"/>
        </w:tblCellMar>
      </w:tblPr>
      <w:tblGrid>
        <w:gridCol w:w="1108"/>
        <w:gridCol w:w="985"/>
        <w:gridCol w:w="1343"/>
        <w:gridCol w:w="2059"/>
        <w:gridCol w:w="1920"/>
        <w:gridCol w:w="1057"/>
      </w:tblGrid>
      <w:tr>
        <w:tblPrEx>
          <w:tblCellMar>
            <w:top w:w="0" w:type="dxa"/>
            <w:left w:w="108" w:type="dxa"/>
            <w:bottom w:w="0" w:type="dxa"/>
            <w:right w:w="108" w:type="dxa"/>
          </w:tblCellMar>
        </w:tblPrEx>
        <w:trPr>
          <w:trHeight w:val="4140" w:hRule="atLeast"/>
        </w:trPr>
        <w:tc>
          <w:tcPr>
            <w:tcW w:w="11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所属     专业大类      （代码）</w:t>
            </w:r>
          </w:p>
        </w:tc>
        <w:tc>
          <w:tcPr>
            <w:tcW w:w="985"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所属     专业类（代码）</w:t>
            </w:r>
          </w:p>
        </w:tc>
        <w:tc>
          <w:tcPr>
            <w:tcW w:w="1343"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对应行业</w:t>
            </w:r>
          </w:p>
        </w:tc>
        <w:tc>
          <w:tcPr>
            <w:tcW w:w="2059"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xml:space="preserve">主要职业类别     </w:t>
            </w:r>
          </w:p>
        </w:tc>
        <w:tc>
          <w:tcPr>
            <w:tcW w:w="1920"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主要岗位类别       （技术领域）</w:t>
            </w:r>
          </w:p>
        </w:tc>
        <w:tc>
          <w:tcPr>
            <w:tcW w:w="1057"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职业资格证书或技能等证书举例</w:t>
            </w:r>
          </w:p>
        </w:tc>
      </w:tr>
      <w:tr>
        <w:tblPrEx>
          <w:tblCellMar>
            <w:top w:w="0" w:type="dxa"/>
            <w:left w:w="108" w:type="dxa"/>
            <w:bottom w:w="0" w:type="dxa"/>
            <w:right w:w="108" w:type="dxa"/>
          </w:tblCellMar>
        </w:tblPrEx>
        <w:trPr>
          <w:trHeight w:val="6039" w:hRule="atLeast"/>
        </w:trPr>
        <w:tc>
          <w:tcPr>
            <w:tcW w:w="1108"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教育与体育大类（</w:t>
            </w:r>
            <w:r>
              <w:rPr>
                <w:rFonts w:cs="宋体"/>
                <w:color w:val="000000"/>
                <w:kern w:val="0"/>
                <w:sz w:val="28"/>
                <w:szCs w:val="28"/>
              </w:rPr>
              <w:t>67</w:t>
            </w:r>
            <w:r>
              <w:rPr>
                <w:rFonts w:hint="eastAsia" w:ascii="宋体" w:hAnsi="宋体" w:cs="宋体"/>
                <w:color w:val="000000"/>
                <w:kern w:val="0"/>
                <w:sz w:val="28"/>
                <w:szCs w:val="28"/>
              </w:rPr>
              <w:t>）</w:t>
            </w:r>
          </w:p>
        </w:tc>
        <w:tc>
          <w:tcPr>
            <w:tcW w:w="98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教育类-6701</w:t>
            </w:r>
          </w:p>
        </w:tc>
        <w:tc>
          <w:tcPr>
            <w:tcW w:w="1343"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color w:val="000000"/>
                <w:kern w:val="0"/>
                <w:sz w:val="28"/>
                <w:szCs w:val="28"/>
              </w:rPr>
            </w:pPr>
          </w:p>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教育                （p-83）</w:t>
            </w:r>
          </w:p>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小学教育8301</w:t>
            </w:r>
          </w:p>
          <w:p>
            <w:pPr>
              <w:widowControl/>
              <w:spacing w:line="560" w:lineRule="exact"/>
              <w:jc w:val="center"/>
              <w:rPr>
                <w:rFonts w:ascii="宋体" w:hAnsi="宋体" w:cs="宋体"/>
                <w:color w:val="000000"/>
                <w:kern w:val="0"/>
                <w:sz w:val="28"/>
                <w:szCs w:val="28"/>
              </w:rPr>
            </w:pPr>
          </w:p>
        </w:tc>
        <w:tc>
          <w:tcPr>
            <w:tcW w:w="205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中小学教育教师</w:t>
            </w:r>
          </w:p>
          <w:p>
            <w:pPr>
              <w:rPr>
                <w:rFonts w:ascii="宋体" w:hAnsi="宋体" w:cs="宋体"/>
                <w:color w:val="000000"/>
                <w:kern w:val="0"/>
                <w:sz w:val="28"/>
                <w:szCs w:val="28"/>
              </w:rPr>
            </w:pPr>
            <w:r>
              <w:rPr>
                <w:rFonts w:hint="eastAsia" w:ascii="宋体" w:hAnsi="宋体" w:cs="宋体"/>
                <w:color w:val="000000"/>
                <w:kern w:val="0"/>
                <w:sz w:val="28"/>
                <w:szCs w:val="28"/>
              </w:rPr>
              <w:t xml:space="preserve">其他教学人员 </w:t>
            </w:r>
          </w:p>
          <w:p>
            <w:pPr>
              <w:widowControl/>
              <w:spacing w:line="560" w:lineRule="exact"/>
              <w:jc w:val="center"/>
              <w:rPr>
                <w:rFonts w:ascii="宋体" w:hAnsi="宋体" w:cs="宋体"/>
                <w:color w:val="000000"/>
                <w:kern w:val="0"/>
                <w:sz w:val="28"/>
                <w:szCs w:val="28"/>
              </w:rPr>
            </w:pPr>
          </w:p>
        </w:tc>
        <w:tc>
          <w:tcPr>
            <w:tcW w:w="1920" w:type="dxa"/>
            <w:tcBorders>
              <w:top w:val="nil"/>
              <w:left w:val="nil"/>
              <w:bottom w:val="single" w:color="auto" w:sz="4" w:space="0"/>
              <w:right w:val="single" w:color="auto" w:sz="4" w:space="0"/>
            </w:tcBorders>
            <w:shd w:val="clear" w:color="auto" w:fill="auto"/>
            <w:vAlign w:val="center"/>
          </w:tcPr>
          <w:p>
            <w:pPr>
              <w:widowControl/>
              <w:spacing w:line="560" w:lineRule="exact"/>
              <w:rPr>
                <w:rFonts w:ascii="宋体" w:hAnsi="宋体" w:cs="宋体"/>
                <w:color w:val="000000"/>
                <w:kern w:val="0"/>
                <w:sz w:val="28"/>
                <w:szCs w:val="28"/>
              </w:rPr>
            </w:pPr>
            <w:r>
              <w:rPr>
                <w:rFonts w:hint="eastAsia" w:ascii="宋体" w:hAnsi="宋体" w:cs="宋体"/>
                <w:color w:val="000000"/>
                <w:kern w:val="0"/>
                <w:sz w:val="28"/>
                <w:szCs w:val="28"/>
              </w:rPr>
              <w:t>小学教师</w:t>
            </w:r>
          </w:p>
          <w:p>
            <w:pPr>
              <w:widowControl/>
              <w:spacing w:line="560" w:lineRule="exact"/>
              <w:rPr>
                <w:rFonts w:ascii="宋体" w:hAnsi="宋体" w:cs="宋体"/>
                <w:color w:val="000000"/>
                <w:kern w:val="0"/>
                <w:sz w:val="28"/>
                <w:szCs w:val="28"/>
              </w:rPr>
            </w:pPr>
            <w:r>
              <w:rPr>
                <w:rFonts w:hint="eastAsia" w:ascii="宋体" w:hAnsi="宋体" w:cs="宋体"/>
                <w:color w:val="000000"/>
                <w:kern w:val="0"/>
                <w:sz w:val="28"/>
                <w:szCs w:val="28"/>
              </w:rPr>
              <w:t>各类儿童教育机构、服务机构工作人员</w:t>
            </w:r>
          </w:p>
          <w:p>
            <w:pPr>
              <w:widowControl/>
              <w:spacing w:line="560" w:lineRule="exact"/>
              <w:rPr>
                <w:rFonts w:ascii="宋体" w:hAnsi="宋体" w:cs="宋体"/>
                <w:color w:val="000000"/>
                <w:kern w:val="0"/>
                <w:sz w:val="28"/>
                <w:szCs w:val="28"/>
              </w:rPr>
            </w:pPr>
            <w:r>
              <w:rPr>
                <w:rFonts w:hint="eastAsia" w:ascii="宋体" w:hAnsi="宋体" w:cs="宋体"/>
                <w:color w:val="000000"/>
                <w:kern w:val="0"/>
                <w:sz w:val="28"/>
                <w:szCs w:val="28"/>
              </w:rPr>
              <w:t>相关部门的语言文字、文书工作</w:t>
            </w:r>
          </w:p>
        </w:tc>
        <w:tc>
          <w:tcPr>
            <w:tcW w:w="1057" w:type="dxa"/>
            <w:tcBorders>
              <w:top w:val="nil"/>
              <w:left w:val="nil"/>
              <w:bottom w:val="single" w:color="auto" w:sz="4" w:space="0"/>
              <w:right w:val="single" w:color="auto" w:sz="4" w:space="0"/>
            </w:tcBorders>
            <w:shd w:val="clear" w:color="auto" w:fill="auto"/>
            <w:vAlign w:val="center"/>
          </w:tcPr>
          <w:p>
            <w:pPr>
              <w:widowControl/>
              <w:spacing w:line="560" w:lineRule="exact"/>
              <w:rPr>
                <w:rFonts w:ascii="宋体" w:hAnsi="宋体" w:cs="宋体"/>
                <w:color w:val="000000"/>
                <w:kern w:val="0"/>
                <w:sz w:val="28"/>
                <w:szCs w:val="28"/>
              </w:rPr>
            </w:pPr>
            <w:r>
              <w:rPr>
                <w:rFonts w:hint="eastAsia" w:ascii="宋体" w:hAnsi="宋体" w:cs="宋体"/>
                <w:color w:val="000000"/>
                <w:kern w:val="0"/>
                <w:sz w:val="28"/>
                <w:szCs w:val="28"/>
              </w:rPr>
              <w:t>小学教师资格证、普通话证、计算机等级证书</w:t>
            </w:r>
          </w:p>
        </w:tc>
      </w:tr>
    </w:tbl>
    <w:p>
      <w:pPr>
        <w:spacing w:line="560" w:lineRule="exact"/>
        <w:ind w:firstLine="640" w:firstLineChars="200"/>
        <w:rPr>
          <w:rFonts w:ascii="仿宋_GB2312" w:eastAsia="仿宋_GB2312"/>
          <w:sz w:val="32"/>
          <w:szCs w:val="32"/>
        </w:rPr>
      </w:pPr>
    </w:p>
    <w:p>
      <w:pPr>
        <w:spacing w:line="560" w:lineRule="exact"/>
        <w:rPr>
          <w:rFonts w:ascii="黑体" w:hAnsi="黑体" w:eastAsia="黑体"/>
          <w:sz w:val="32"/>
          <w:szCs w:val="32"/>
        </w:rPr>
      </w:pPr>
      <w:r>
        <w:rPr>
          <w:rFonts w:hint="eastAsia" w:ascii="黑体" w:hAnsi="黑体" w:eastAsia="黑体"/>
          <w:sz w:val="32"/>
          <w:szCs w:val="32"/>
        </w:rPr>
        <w:t>五、培养目标与培养规格</w:t>
      </w:r>
    </w:p>
    <w:p>
      <w:pPr>
        <w:spacing w:line="560" w:lineRule="exact"/>
        <w:ind w:firstLine="640" w:firstLineChars="200"/>
        <w:rPr>
          <w:rFonts w:ascii="黑体" w:hAnsi="黑体" w:eastAsia="黑体"/>
          <w:sz w:val="32"/>
          <w:szCs w:val="32"/>
        </w:rPr>
      </w:pPr>
      <w:r>
        <w:rPr>
          <w:rFonts w:hint="eastAsia" w:ascii="楷体_GB2312" w:eastAsia="楷体_GB2312"/>
          <w:sz w:val="32"/>
          <w:szCs w:val="32"/>
        </w:rPr>
        <w:t>（一）中职阶段培养目标</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在促进学生德、智、体、美、劳全面发展的基础上，培养具备小学教育专业的基础知识、基本技能与专业伦理，具备较高情智结构、较强实践能力与创新能力，一定科研能力和初步管理能力，具备综合教育素养与全科教学能力的小学教育师资，以适应小学教育对全科综合型师资的新需求。</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（二）中职阶段培养规格</w:t>
      </w:r>
    </w:p>
    <w:p>
      <w:pPr>
        <w:spacing w:line="560" w:lineRule="exact"/>
        <w:ind w:firstLine="640" w:firstLineChars="200"/>
        <w:rPr>
          <w:rFonts w:ascii="楷体_GB2312" w:eastAsia="楷体_GB2312"/>
          <w:sz w:val="32"/>
          <w:szCs w:val="32"/>
        </w:rPr>
      </w:pPr>
      <w:r>
        <w:rPr>
          <w:rFonts w:hint="eastAsia" w:ascii="仿宋_GB2312" w:hAnsi="宋体" w:eastAsia="仿宋_GB2312" w:cs="宋体"/>
          <w:color w:val="000000"/>
          <w:sz w:val="32"/>
          <w:szCs w:val="32"/>
        </w:rPr>
        <w:t>1.素质</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（1）热爱教育事业，关爱儿童，热爱儿童；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w:t>
      </w:r>
      <w:r>
        <w:rPr>
          <w:rFonts w:ascii="仿宋_GB2312" w:hAnsi="宋体" w:eastAsia="仿宋_GB2312" w:cs="宋体"/>
          <w:color w:val="000000"/>
          <w:sz w:val="32"/>
          <w:szCs w:val="32"/>
        </w:rPr>
        <w:t>2</w:t>
      </w:r>
      <w:r>
        <w:rPr>
          <w:rFonts w:hint="eastAsia" w:ascii="仿宋_GB2312" w:hAnsi="宋体" w:eastAsia="仿宋_GB2312" w:cs="宋体"/>
          <w:color w:val="000000"/>
          <w:sz w:val="32"/>
          <w:szCs w:val="32"/>
        </w:rPr>
        <w:t>）具有强烈的事业心和责任感，良好的教师职业道德和社会公德；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w:t>
      </w:r>
      <w:r>
        <w:rPr>
          <w:rFonts w:ascii="仿宋_GB2312" w:hAnsi="宋体" w:eastAsia="仿宋_GB2312" w:cs="宋体"/>
          <w:color w:val="000000"/>
          <w:sz w:val="32"/>
          <w:szCs w:val="32"/>
        </w:rPr>
        <w:t>3</w:t>
      </w:r>
      <w:r>
        <w:rPr>
          <w:rFonts w:hint="eastAsia" w:ascii="仿宋_GB2312" w:hAnsi="宋体" w:eastAsia="仿宋_GB2312" w:cs="宋体"/>
          <w:color w:val="000000"/>
          <w:sz w:val="32"/>
          <w:szCs w:val="32"/>
        </w:rPr>
        <w:t>）具有健全的心理和健康的体魄，养成良好的文明行为和生活习惯；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w:t>
      </w:r>
      <w:r>
        <w:rPr>
          <w:rFonts w:ascii="仿宋_GB2312" w:hAnsi="宋体" w:eastAsia="仿宋_GB2312" w:cs="宋体"/>
          <w:color w:val="000000"/>
          <w:sz w:val="32"/>
          <w:szCs w:val="32"/>
        </w:rPr>
        <w:t>4</w:t>
      </w:r>
      <w:r>
        <w:rPr>
          <w:rFonts w:hint="eastAsia" w:ascii="仿宋_GB2312" w:hAnsi="宋体" w:eastAsia="仿宋_GB2312" w:cs="宋体"/>
          <w:color w:val="000000"/>
          <w:sz w:val="32"/>
          <w:szCs w:val="32"/>
        </w:rPr>
        <w:t>）爱岗敬业，团结协作，尊重他人，具有较强的沟通合作能力，具有终身学习的意愿。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2.知识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（1）熟悉国家教育的方针、政策和法律法规；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（2</w:t>
      </w:r>
      <w:r>
        <w:rPr>
          <w:rFonts w:ascii="仿宋_GB2312" w:hAnsi="宋体" w:eastAsia="仿宋_GB2312" w:cs="宋体"/>
          <w:color w:val="000000"/>
          <w:sz w:val="32"/>
          <w:szCs w:val="32"/>
        </w:rPr>
        <w:t>）</w:t>
      </w:r>
      <w:r>
        <w:rPr>
          <w:rFonts w:hint="eastAsia" w:ascii="仿宋_GB2312" w:hAnsi="宋体" w:eastAsia="仿宋_GB2312" w:cs="宋体"/>
          <w:color w:val="000000"/>
          <w:sz w:val="32"/>
          <w:szCs w:val="32"/>
        </w:rPr>
        <w:t>具有良好的自然、社会科学和人文科学基础知识；</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（3）掌握心理学、教育学等学科的基础知识和基本理论；</w:t>
      </w:r>
      <w:r>
        <w:rPr>
          <w:rFonts w:ascii="仿宋_GB2312" w:hAnsi="宋体" w:eastAsia="仿宋_GB2312" w:cs="宋体"/>
          <w:color w:val="000000"/>
          <w:sz w:val="32"/>
          <w:szCs w:val="32"/>
        </w:rPr>
        <w:t xml:space="preserve"> </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w:t>
      </w:r>
      <w:r>
        <w:rPr>
          <w:rFonts w:ascii="仿宋_GB2312" w:hAnsi="宋体" w:eastAsia="仿宋_GB2312" w:cs="宋体"/>
          <w:color w:val="000000"/>
          <w:sz w:val="32"/>
          <w:szCs w:val="32"/>
        </w:rPr>
        <w:t>4</w:t>
      </w:r>
      <w:r>
        <w:rPr>
          <w:rFonts w:hint="eastAsia" w:ascii="仿宋_GB2312" w:hAnsi="宋体" w:eastAsia="仿宋_GB2312" w:cs="宋体"/>
          <w:color w:val="000000"/>
          <w:sz w:val="32"/>
          <w:szCs w:val="32"/>
        </w:rPr>
        <w:t>）掌握较系统的小学学科教学；</w:t>
      </w:r>
    </w:p>
    <w:p>
      <w:pPr>
        <w:ind w:firstLine="640" w:firstLineChars="200"/>
        <w:rPr>
          <w:rFonts w:ascii="宋体" w:hAnsi="宋体"/>
          <w:szCs w:val="21"/>
        </w:rPr>
      </w:pPr>
      <w:r>
        <w:rPr>
          <w:rFonts w:hint="eastAsia" w:ascii="仿宋_GB2312" w:hAnsi="宋体" w:eastAsia="仿宋_GB2312" w:cs="宋体"/>
          <w:color w:val="000000"/>
          <w:sz w:val="32"/>
          <w:szCs w:val="32"/>
        </w:rPr>
        <w:t>（5）掌握班级管理的方法、途径以及相关的注意事项；</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3.能力</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w:t>
      </w:r>
      <w:r>
        <w:rPr>
          <w:rFonts w:ascii="仿宋_GB2312" w:hAnsi="宋体" w:eastAsia="仿宋_GB2312" w:cs="宋体"/>
          <w:color w:val="000000"/>
          <w:sz w:val="32"/>
          <w:szCs w:val="32"/>
        </w:rPr>
        <w:t>1</w:t>
      </w:r>
      <w:r>
        <w:rPr>
          <w:rFonts w:hint="eastAsia" w:ascii="仿宋_GB2312" w:hAnsi="宋体" w:eastAsia="仿宋_GB2312" w:cs="宋体"/>
          <w:color w:val="000000"/>
          <w:sz w:val="32"/>
          <w:szCs w:val="32"/>
        </w:rPr>
        <w:t>）具有较扎实的“三字一话”的教学基本功；</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w:t>
      </w:r>
      <w:r>
        <w:rPr>
          <w:rFonts w:ascii="仿宋_GB2312" w:hAnsi="宋体" w:eastAsia="仿宋_GB2312" w:cs="宋体"/>
          <w:color w:val="000000"/>
          <w:sz w:val="32"/>
          <w:szCs w:val="32"/>
        </w:rPr>
        <w:t>2</w:t>
      </w:r>
      <w:r>
        <w:rPr>
          <w:rFonts w:hint="eastAsia" w:ascii="仿宋_GB2312" w:hAnsi="宋体" w:eastAsia="仿宋_GB2312" w:cs="宋体"/>
          <w:color w:val="000000"/>
          <w:sz w:val="32"/>
          <w:szCs w:val="32"/>
        </w:rPr>
        <w:t>）掌握小学教育教学规律和学生身心发展规律；</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w:t>
      </w:r>
      <w:r>
        <w:rPr>
          <w:rFonts w:ascii="仿宋_GB2312" w:hAnsi="宋体" w:eastAsia="仿宋_GB2312" w:cs="宋体"/>
          <w:color w:val="000000"/>
          <w:sz w:val="32"/>
          <w:szCs w:val="32"/>
        </w:rPr>
        <w:t>3</w:t>
      </w:r>
      <w:r>
        <w:rPr>
          <w:rFonts w:hint="eastAsia" w:ascii="仿宋_GB2312" w:hAnsi="宋体" w:eastAsia="仿宋_GB2312" w:cs="宋体"/>
          <w:color w:val="000000"/>
          <w:sz w:val="32"/>
          <w:szCs w:val="32"/>
        </w:rPr>
        <w:t>）具有较强的教学组织能力和管理能力，能胜任班主任和少先队辅导员工作；</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w:t>
      </w:r>
      <w:r>
        <w:rPr>
          <w:rFonts w:ascii="仿宋_GB2312" w:hAnsi="宋体" w:eastAsia="仿宋_GB2312" w:cs="宋体"/>
          <w:color w:val="000000"/>
          <w:sz w:val="32"/>
          <w:szCs w:val="32"/>
        </w:rPr>
        <w:t>4</w:t>
      </w:r>
      <w:r>
        <w:rPr>
          <w:rFonts w:hint="eastAsia" w:ascii="仿宋_GB2312" w:hAnsi="宋体" w:eastAsia="仿宋_GB2312" w:cs="宋体"/>
          <w:color w:val="000000"/>
          <w:sz w:val="32"/>
          <w:szCs w:val="32"/>
        </w:rPr>
        <w:t>）掌握计算机操作技能，具有运用现代教育技术的能力；</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w:t>
      </w:r>
      <w:r>
        <w:rPr>
          <w:rFonts w:ascii="仿宋_GB2312" w:hAnsi="宋体" w:eastAsia="仿宋_GB2312" w:cs="宋体"/>
          <w:color w:val="000000"/>
          <w:sz w:val="32"/>
          <w:szCs w:val="32"/>
        </w:rPr>
        <w:t>5</w:t>
      </w:r>
      <w:r>
        <w:rPr>
          <w:rFonts w:hint="eastAsia" w:ascii="仿宋_GB2312" w:hAnsi="宋体" w:eastAsia="仿宋_GB2312" w:cs="宋体"/>
          <w:color w:val="000000"/>
          <w:sz w:val="32"/>
          <w:szCs w:val="32"/>
        </w:rPr>
        <w:t>）具有一定的艺术素养和审美表现能力，有 1—2 门艺术专长。</w:t>
      </w:r>
    </w:p>
    <w:p>
      <w:pPr>
        <w:spacing w:line="560" w:lineRule="exact"/>
        <w:ind w:firstLine="640" w:firstLineChars="200"/>
        <w:rPr>
          <w:rFonts w:ascii="黑体" w:hAnsi="黑体" w:eastAsia="黑体"/>
          <w:sz w:val="32"/>
          <w:szCs w:val="32"/>
        </w:rPr>
      </w:pPr>
      <w:r>
        <w:rPr>
          <w:rFonts w:hint="eastAsia" w:ascii="楷体_GB2312" w:eastAsia="楷体_GB2312"/>
          <w:sz w:val="32"/>
          <w:szCs w:val="32"/>
        </w:rPr>
        <w:t>（三）高职阶段培养目标</w:t>
      </w:r>
    </w:p>
    <w:p>
      <w:pPr>
        <w:spacing w:line="560" w:lineRule="exact"/>
        <w:ind w:firstLine="640" w:firstLineChars="200"/>
        <w:rPr>
          <w:rFonts w:ascii="仿宋_GB2312" w:hAnsi="Calibri" w:eastAsia="仿宋_GB2312" w:cs="Times New Roman"/>
          <w:sz w:val="32"/>
          <w:szCs w:val="32"/>
        </w:rPr>
      </w:pPr>
      <w:r>
        <w:rPr>
          <w:rFonts w:ascii="仿宋_GB2312" w:hAnsi="Calibri" w:eastAsia="仿宋_GB2312" w:cs="Times New Roman"/>
          <w:sz w:val="32"/>
          <w:szCs w:val="32"/>
        </w:rPr>
        <w:t>培养面向教育行业，拥护党的基本路线，</w:t>
      </w:r>
      <w:r>
        <w:rPr>
          <w:rFonts w:hint="eastAsia" w:ascii="仿宋_GB2312" w:hAnsi="Calibri" w:eastAsia="仿宋_GB2312" w:cs="Times New Roman"/>
          <w:sz w:val="32"/>
          <w:szCs w:val="32"/>
        </w:rPr>
        <w:t>具备小学教育专业的基础知识、基本技能与专业伦理，具备较高情智结构、较强实践能力与创新能力，一定科研能力和初步管理能力，具备综合教育素养与全科教学能力的专科层次的小学教育师资，</w:t>
      </w:r>
      <w:r>
        <w:rPr>
          <w:rFonts w:ascii="仿宋_GB2312" w:hAnsi="Calibri" w:eastAsia="仿宋_GB2312" w:cs="Times New Roman"/>
          <w:sz w:val="32"/>
          <w:szCs w:val="32"/>
        </w:rPr>
        <w:t>适应地方经济、文化发展需要的应用型高级专门人才。</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（四）高职阶段培养规格</w:t>
      </w:r>
    </w:p>
    <w:p>
      <w:pPr>
        <w:spacing w:line="560" w:lineRule="exact"/>
        <w:ind w:firstLine="640" w:firstLineChars="200"/>
        <w:rPr>
          <w:rFonts w:ascii="楷体_GB2312" w:eastAsia="楷体_GB2312"/>
          <w:sz w:val="32"/>
          <w:szCs w:val="32"/>
        </w:rPr>
      </w:pPr>
      <w:r>
        <w:rPr>
          <w:rFonts w:hint="eastAsia" w:ascii="仿宋_GB2312" w:hAnsi="宋体" w:eastAsia="仿宋_GB2312" w:cs="宋体"/>
          <w:color w:val="000000"/>
          <w:sz w:val="32"/>
          <w:szCs w:val="32"/>
        </w:rPr>
        <w:t>1.素质</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（1）热爱教育事业，关爱儿童，热爱儿童；</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w:t>
      </w:r>
      <w:r>
        <w:rPr>
          <w:rFonts w:ascii="仿宋_GB2312" w:hAnsi="宋体" w:eastAsia="仿宋_GB2312" w:cs="宋体"/>
          <w:color w:val="000000"/>
          <w:sz w:val="32"/>
          <w:szCs w:val="32"/>
        </w:rPr>
        <w:t>2</w:t>
      </w:r>
      <w:r>
        <w:rPr>
          <w:rFonts w:hint="eastAsia" w:ascii="仿宋_GB2312" w:hAnsi="宋体" w:eastAsia="仿宋_GB2312" w:cs="宋体"/>
          <w:color w:val="000000"/>
          <w:sz w:val="32"/>
          <w:szCs w:val="32"/>
        </w:rPr>
        <w:t>）具有强烈的事业心和责任感，良好的教师职业道德和社会公德；</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w:t>
      </w:r>
      <w:r>
        <w:rPr>
          <w:rFonts w:ascii="仿宋_GB2312" w:hAnsi="宋体" w:eastAsia="仿宋_GB2312" w:cs="宋体"/>
          <w:color w:val="000000"/>
          <w:sz w:val="32"/>
          <w:szCs w:val="32"/>
        </w:rPr>
        <w:t>3</w:t>
      </w:r>
      <w:r>
        <w:rPr>
          <w:rFonts w:hint="eastAsia" w:ascii="仿宋_GB2312" w:hAnsi="宋体" w:eastAsia="仿宋_GB2312" w:cs="宋体"/>
          <w:color w:val="000000"/>
          <w:sz w:val="32"/>
          <w:szCs w:val="32"/>
        </w:rPr>
        <w:t>）具有健全的心理和健康的体魄，养成良好的文明行为和生活习惯；</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w:t>
      </w:r>
      <w:r>
        <w:rPr>
          <w:rFonts w:ascii="仿宋_GB2312" w:hAnsi="宋体" w:eastAsia="仿宋_GB2312" w:cs="宋体"/>
          <w:color w:val="000000"/>
          <w:sz w:val="32"/>
          <w:szCs w:val="32"/>
        </w:rPr>
        <w:t>4</w:t>
      </w:r>
      <w:r>
        <w:rPr>
          <w:rFonts w:hint="eastAsia" w:ascii="仿宋_GB2312" w:hAnsi="宋体" w:eastAsia="仿宋_GB2312" w:cs="宋体"/>
          <w:color w:val="000000"/>
          <w:sz w:val="32"/>
          <w:szCs w:val="32"/>
        </w:rPr>
        <w:t>）爱岗敬业，团结协作，尊重他人，具有较强的沟通合作能力，具有终身学习的意愿。</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2.知识</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（1）熟悉国家教育的方针、政策和法律法规；</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（2</w:t>
      </w:r>
      <w:r>
        <w:rPr>
          <w:rFonts w:ascii="仿宋_GB2312" w:hAnsi="宋体" w:eastAsia="仿宋_GB2312" w:cs="宋体"/>
          <w:color w:val="000000"/>
          <w:sz w:val="32"/>
          <w:szCs w:val="32"/>
        </w:rPr>
        <w:t>）</w:t>
      </w:r>
      <w:r>
        <w:rPr>
          <w:rFonts w:hint="eastAsia" w:ascii="仿宋_GB2312" w:hAnsi="宋体" w:eastAsia="仿宋_GB2312" w:cs="宋体"/>
          <w:color w:val="000000"/>
          <w:sz w:val="32"/>
          <w:szCs w:val="32"/>
        </w:rPr>
        <w:t>具有宽广的文化科学基础知识；</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（3）掌握从事教育教学所必须的教育教学理论知识；</w:t>
      </w:r>
      <w:r>
        <w:rPr>
          <w:rFonts w:ascii="仿宋_GB2312" w:hAnsi="宋体" w:eastAsia="仿宋_GB2312" w:cs="宋体"/>
          <w:color w:val="000000"/>
          <w:sz w:val="32"/>
          <w:szCs w:val="32"/>
        </w:rPr>
        <w:t xml:space="preserve"> </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w:t>
      </w:r>
      <w:r>
        <w:rPr>
          <w:rFonts w:ascii="仿宋_GB2312" w:hAnsi="宋体" w:eastAsia="仿宋_GB2312" w:cs="宋体"/>
          <w:color w:val="000000"/>
          <w:sz w:val="32"/>
          <w:szCs w:val="32"/>
        </w:rPr>
        <w:t>4</w:t>
      </w:r>
      <w:r>
        <w:rPr>
          <w:rFonts w:hint="eastAsia" w:ascii="仿宋_GB2312" w:hAnsi="宋体" w:eastAsia="仿宋_GB2312" w:cs="宋体"/>
          <w:color w:val="000000"/>
          <w:sz w:val="32"/>
          <w:szCs w:val="32"/>
        </w:rPr>
        <w:t>）具有扎实的语言文字基础知识和较深厚的小学学科理论素养；</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（5）掌握系统的小学学科教学及教改知识；</w:t>
      </w:r>
    </w:p>
    <w:p>
      <w:pPr>
        <w:ind w:firstLine="640" w:firstLineChars="200"/>
        <w:rPr>
          <w:rFonts w:ascii="宋体" w:hAnsi="宋体"/>
          <w:szCs w:val="21"/>
        </w:rPr>
      </w:pPr>
      <w:r>
        <w:rPr>
          <w:rFonts w:hint="eastAsia" w:ascii="仿宋_GB2312" w:hAnsi="宋体" w:eastAsia="仿宋_GB2312" w:cs="宋体"/>
          <w:color w:val="000000"/>
          <w:sz w:val="32"/>
          <w:szCs w:val="32"/>
        </w:rPr>
        <w:t>（6）掌握班级管理和家校合作的方法、途径以及相关的注意事项；</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3.能力</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w:t>
      </w:r>
      <w:r>
        <w:rPr>
          <w:rFonts w:ascii="仿宋_GB2312" w:hAnsi="宋体" w:eastAsia="仿宋_GB2312" w:cs="宋体"/>
          <w:color w:val="000000"/>
          <w:sz w:val="32"/>
          <w:szCs w:val="32"/>
        </w:rPr>
        <w:t>1</w:t>
      </w:r>
      <w:r>
        <w:rPr>
          <w:rFonts w:hint="eastAsia" w:ascii="仿宋_GB2312" w:hAnsi="宋体" w:eastAsia="仿宋_GB2312" w:cs="宋体"/>
          <w:color w:val="000000"/>
          <w:sz w:val="32"/>
          <w:szCs w:val="32"/>
        </w:rPr>
        <w:t>）具有扎实的“三字一话”的教学基本功</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w:t>
      </w:r>
      <w:r>
        <w:rPr>
          <w:rFonts w:ascii="仿宋_GB2312" w:hAnsi="宋体" w:eastAsia="仿宋_GB2312" w:cs="宋体"/>
          <w:color w:val="000000"/>
          <w:sz w:val="32"/>
          <w:szCs w:val="32"/>
        </w:rPr>
        <w:t>2</w:t>
      </w:r>
      <w:r>
        <w:rPr>
          <w:rFonts w:hint="eastAsia" w:ascii="仿宋_GB2312" w:hAnsi="宋体" w:eastAsia="仿宋_GB2312" w:cs="宋体"/>
          <w:color w:val="000000"/>
          <w:sz w:val="32"/>
          <w:szCs w:val="32"/>
        </w:rPr>
        <w:t>）具有先进的教育教学理念和教育教学艺术，掌握小学教育教学规律和学生身心发展规律；</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w:t>
      </w:r>
      <w:r>
        <w:rPr>
          <w:rFonts w:ascii="仿宋_GB2312" w:hAnsi="宋体" w:eastAsia="仿宋_GB2312" w:cs="宋体"/>
          <w:color w:val="000000"/>
          <w:sz w:val="32"/>
          <w:szCs w:val="32"/>
        </w:rPr>
        <w:t>3</w:t>
      </w:r>
      <w:r>
        <w:rPr>
          <w:rFonts w:hint="eastAsia" w:ascii="仿宋_GB2312" w:hAnsi="宋体" w:eastAsia="仿宋_GB2312" w:cs="宋体"/>
          <w:color w:val="000000"/>
          <w:sz w:val="32"/>
          <w:szCs w:val="32"/>
        </w:rPr>
        <w:t>）具备从事小学教育各门课程教学和课程开发的能力；</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w:t>
      </w:r>
      <w:r>
        <w:rPr>
          <w:rFonts w:ascii="仿宋_GB2312" w:hAnsi="宋体" w:eastAsia="仿宋_GB2312" w:cs="宋体"/>
          <w:color w:val="000000"/>
          <w:sz w:val="32"/>
          <w:szCs w:val="32"/>
        </w:rPr>
        <w:t>4</w:t>
      </w:r>
      <w:r>
        <w:rPr>
          <w:rFonts w:hint="eastAsia" w:ascii="仿宋_GB2312" w:hAnsi="宋体" w:eastAsia="仿宋_GB2312" w:cs="宋体"/>
          <w:color w:val="000000"/>
          <w:sz w:val="32"/>
          <w:szCs w:val="32"/>
        </w:rPr>
        <w:t>）具有较强的教学组织能力和管理能力，能胜任班主任和少先队辅导员工作；</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w:t>
      </w:r>
      <w:r>
        <w:rPr>
          <w:rFonts w:ascii="仿宋_GB2312" w:hAnsi="宋体" w:eastAsia="仿宋_GB2312" w:cs="宋体"/>
          <w:color w:val="000000"/>
          <w:sz w:val="32"/>
          <w:szCs w:val="32"/>
        </w:rPr>
        <w:t>5</w:t>
      </w:r>
      <w:r>
        <w:rPr>
          <w:rFonts w:hint="eastAsia" w:ascii="仿宋_GB2312" w:hAnsi="宋体" w:eastAsia="仿宋_GB2312" w:cs="宋体"/>
          <w:color w:val="000000"/>
          <w:sz w:val="32"/>
          <w:szCs w:val="32"/>
        </w:rPr>
        <w:t>）掌握计算机操作技能，具有运用现代教育技术的能力；</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w:t>
      </w:r>
      <w:r>
        <w:rPr>
          <w:rFonts w:ascii="仿宋_GB2312" w:hAnsi="宋体" w:eastAsia="仿宋_GB2312" w:cs="宋体"/>
          <w:color w:val="000000"/>
          <w:sz w:val="32"/>
          <w:szCs w:val="32"/>
        </w:rPr>
        <w:t>6</w:t>
      </w:r>
      <w:r>
        <w:rPr>
          <w:rFonts w:hint="eastAsia" w:ascii="仿宋_GB2312" w:hAnsi="宋体" w:eastAsia="仿宋_GB2312" w:cs="宋体"/>
          <w:color w:val="000000"/>
          <w:sz w:val="32"/>
          <w:szCs w:val="32"/>
        </w:rPr>
        <w:t>）具有一定的艺术素养和审美表现能力，有 1—2 门艺术专长。</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（五）证书要求：</w:t>
      </w:r>
    </w:p>
    <w:p>
      <w:pPr>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教师资格证、普通话证 、计算机等级证书</w:t>
      </w:r>
    </w:p>
    <w:p>
      <w:pPr>
        <w:spacing w:line="560" w:lineRule="exact"/>
        <w:rPr>
          <w:rFonts w:ascii="黑体" w:hAnsi="黑体" w:eastAsia="黑体"/>
          <w:sz w:val="32"/>
          <w:szCs w:val="32"/>
        </w:rPr>
      </w:pPr>
      <w:r>
        <w:rPr>
          <w:rFonts w:hint="eastAsia" w:ascii="黑体" w:hAnsi="黑体" w:eastAsia="黑体"/>
          <w:sz w:val="32"/>
          <w:szCs w:val="32"/>
        </w:rPr>
        <w:t>六</w:t>
      </w:r>
      <w:r>
        <w:rPr>
          <w:rFonts w:ascii="黑体" w:hAnsi="黑体" w:eastAsia="黑体"/>
          <w:sz w:val="32"/>
          <w:szCs w:val="32"/>
        </w:rPr>
        <w:t>、工作任务与职业能力分析（</w:t>
      </w:r>
      <w:r>
        <w:rPr>
          <w:rFonts w:hint="eastAsia" w:ascii="黑体" w:hAnsi="黑体" w:eastAsia="黑体"/>
          <w:sz w:val="32"/>
          <w:szCs w:val="32"/>
        </w:rPr>
        <w:t>最好中职高职分开）</w:t>
      </w:r>
    </w:p>
    <w:tbl>
      <w:tblPr>
        <w:tblStyle w:val="12"/>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54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526" w:type="dxa"/>
            <w:vAlign w:val="center"/>
          </w:tcPr>
          <w:p>
            <w:pPr>
              <w:jc w:val="center"/>
              <w:rPr>
                <w:rFonts w:ascii="宋体" w:hAnsi="宋体"/>
                <w:szCs w:val="21"/>
              </w:rPr>
            </w:pPr>
            <w:r>
              <w:rPr>
                <w:rFonts w:ascii="宋体" w:hAnsi="宋体"/>
                <w:szCs w:val="21"/>
              </w:rPr>
              <w:t>序号</w:t>
            </w:r>
          </w:p>
        </w:tc>
        <w:tc>
          <w:tcPr>
            <w:tcW w:w="3544" w:type="dxa"/>
            <w:vAlign w:val="center"/>
          </w:tcPr>
          <w:p>
            <w:pPr>
              <w:jc w:val="center"/>
              <w:rPr>
                <w:rFonts w:ascii="宋体" w:hAnsi="宋体"/>
                <w:sz w:val="28"/>
                <w:szCs w:val="21"/>
              </w:rPr>
            </w:pPr>
            <w:r>
              <w:rPr>
                <w:rFonts w:ascii="宋体" w:hAnsi="宋体"/>
                <w:sz w:val="28"/>
                <w:szCs w:val="21"/>
              </w:rPr>
              <w:t>工  作 任  务</w:t>
            </w:r>
          </w:p>
        </w:tc>
        <w:tc>
          <w:tcPr>
            <w:tcW w:w="4252" w:type="dxa"/>
            <w:vAlign w:val="center"/>
          </w:tcPr>
          <w:p>
            <w:pPr>
              <w:jc w:val="center"/>
              <w:rPr>
                <w:rFonts w:ascii="宋体" w:hAnsi="宋体"/>
                <w:sz w:val="28"/>
                <w:szCs w:val="21"/>
              </w:rPr>
            </w:pPr>
            <w:r>
              <w:rPr>
                <w:rFonts w:ascii="宋体" w:hAnsi="宋体"/>
                <w:sz w:val="28"/>
                <w:szCs w:val="21"/>
              </w:rPr>
              <w:t>职  业  能  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526" w:type="dxa"/>
            <w:vMerge w:val="restart"/>
            <w:vAlign w:val="center"/>
          </w:tcPr>
          <w:p>
            <w:pPr>
              <w:jc w:val="center"/>
              <w:rPr>
                <w:rFonts w:ascii="宋体" w:hAnsi="宋体"/>
                <w:szCs w:val="21"/>
              </w:rPr>
            </w:pPr>
            <w:r>
              <w:rPr>
                <w:rFonts w:hint="eastAsia" w:ascii="宋体" w:hAnsi="宋体"/>
                <w:szCs w:val="21"/>
              </w:rPr>
              <w:t>小学课堂教学</w:t>
            </w:r>
          </w:p>
          <w:p>
            <w:pPr>
              <w:jc w:val="center"/>
              <w:rPr>
                <w:rFonts w:ascii="宋体" w:hAnsi="宋体"/>
                <w:szCs w:val="21"/>
              </w:rPr>
            </w:pPr>
          </w:p>
        </w:tc>
        <w:tc>
          <w:tcPr>
            <w:tcW w:w="3544" w:type="dxa"/>
            <w:vAlign w:val="center"/>
          </w:tcPr>
          <w:p>
            <w:pPr>
              <w:rPr>
                <w:rFonts w:ascii="宋体" w:hAnsi="宋体"/>
                <w:sz w:val="28"/>
                <w:szCs w:val="21"/>
              </w:rPr>
            </w:pPr>
            <w:r>
              <w:rPr>
                <w:rFonts w:ascii="宋体" w:hAnsi="宋体"/>
                <w:sz w:val="28"/>
                <w:szCs w:val="18"/>
              </w:rPr>
              <w:t>1-1</w:t>
            </w:r>
            <w:r>
              <w:rPr>
                <w:rFonts w:hint="eastAsia" w:ascii="宋体" w:hAnsi="宋体"/>
                <w:sz w:val="28"/>
                <w:szCs w:val="18"/>
              </w:rPr>
              <w:t xml:space="preserve"> 传授学科基础知识</w:t>
            </w:r>
          </w:p>
        </w:tc>
        <w:tc>
          <w:tcPr>
            <w:tcW w:w="4252" w:type="dxa"/>
            <w:vAlign w:val="center"/>
          </w:tcPr>
          <w:p>
            <w:pPr>
              <w:pStyle w:val="26"/>
              <w:numPr>
                <w:ilvl w:val="2"/>
                <w:numId w:val="1"/>
              </w:numPr>
              <w:ind w:firstLineChars="0"/>
              <w:rPr>
                <w:rFonts w:ascii="宋体" w:hAnsi="宋体"/>
                <w:sz w:val="28"/>
                <w:szCs w:val="18"/>
              </w:rPr>
            </w:pPr>
            <w:r>
              <w:rPr>
                <w:rFonts w:hint="eastAsia" w:ascii="宋体" w:hAnsi="宋体"/>
                <w:sz w:val="28"/>
                <w:szCs w:val="18"/>
              </w:rPr>
              <w:t>三字一话的教学基本功</w:t>
            </w:r>
          </w:p>
          <w:p>
            <w:pPr>
              <w:pStyle w:val="26"/>
              <w:numPr>
                <w:ilvl w:val="2"/>
                <w:numId w:val="1"/>
              </w:numPr>
              <w:ind w:firstLineChars="0"/>
              <w:rPr>
                <w:rFonts w:ascii="宋体" w:hAnsi="宋体"/>
                <w:sz w:val="28"/>
                <w:szCs w:val="21"/>
              </w:rPr>
            </w:pPr>
            <w:r>
              <w:rPr>
                <w:rFonts w:hint="eastAsia" w:ascii="宋体" w:hAnsi="宋体"/>
                <w:sz w:val="28"/>
                <w:szCs w:val="21"/>
              </w:rPr>
              <w:t>规范的课堂语言表达能力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1526" w:type="dxa"/>
            <w:vMerge w:val="continue"/>
            <w:vAlign w:val="center"/>
          </w:tcPr>
          <w:p>
            <w:pPr>
              <w:jc w:val="center"/>
              <w:rPr>
                <w:rFonts w:ascii="宋体" w:hAnsi="宋体"/>
                <w:szCs w:val="21"/>
              </w:rPr>
            </w:pPr>
          </w:p>
        </w:tc>
        <w:tc>
          <w:tcPr>
            <w:tcW w:w="3544" w:type="dxa"/>
            <w:vAlign w:val="center"/>
          </w:tcPr>
          <w:p>
            <w:pPr>
              <w:rPr>
                <w:rFonts w:ascii="宋体" w:hAnsi="宋体"/>
                <w:sz w:val="28"/>
                <w:szCs w:val="21"/>
              </w:rPr>
            </w:pPr>
            <w:r>
              <w:rPr>
                <w:rFonts w:ascii="宋体" w:hAnsi="宋体"/>
                <w:sz w:val="28"/>
                <w:szCs w:val="18"/>
              </w:rPr>
              <w:t>1-2</w:t>
            </w:r>
            <w:r>
              <w:rPr>
                <w:rFonts w:hint="eastAsia" w:ascii="宋体" w:hAnsi="宋体"/>
                <w:sz w:val="28"/>
                <w:szCs w:val="18"/>
              </w:rPr>
              <w:t xml:space="preserve"> 训练和发展学生学科基本技能和能力</w:t>
            </w:r>
          </w:p>
        </w:tc>
        <w:tc>
          <w:tcPr>
            <w:tcW w:w="4252" w:type="dxa"/>
            <w:vAlign w:val="center"/>
          </w:tcPr>
          <w:p>
            <w:pPr>
              <w:rPr>
                <w:rFonts w:ascii="宋体" w:hAnsi="宋体"/>
                <w:sz w:val="28"/>
                <w:szCs w:val="18"/>
              </w:rPr>
            </w:pPr>
            <w:r>
              <w:rPr>
                <w:rFonts w:hint="eastAsia" w:ascii="宋体" w:hAnsi="宋体"/>
                <w:sz w:val="28"/>
                <w:szCs w:val="18"/>
              </w:rPr>
              <w:t>1-2-1 深入钻研和理解教材的能力</w:t>
            </w:r>
          </w:p>
          <w:p>
            <w:pPr>
              <w:rPr>
                <w:rFonts w:ascii="宋体" w:hAnsi="宋体"/>
                <w:sz w:val="28"/>
                <w:szCs w:val="18"/>
              </w:rPr>
            </w:pPr>
            <w:r>
              <w:rPr>
                <w:rFonts w:hint="eastAsia" w:ascii="宋体" w:hAnsi="宋体"/>
                <w:sz w:val="28"/>
                <w:szCs w:val="18"/>
              </w:rPr>
              <w:t>1-2-2恰当选择教学方法和设计教学过程的能力</w:t>
            </w:r>
          </w:p>
          <w:p>
            <w:pPr>
              <w:rPr>
                <w:rFonts w:ascii="宋体" w:hAnsi="宋体"/>
                <w:sz w:val="28"/>
                <w:szCs w:val="21"/>
              </w:rPr>
            </w:pPr>
            <w:r>
              <w:rPr>
                <w:rFonts w:hint="eastAsia" w:ascii="宋体" w:hAnsi="宋体"/>
                <w:sz w:val="28"/>
                <w:szCs w:val="18"/>
              </w:rPr>
              <w:t>1-2-3 组织和管理课堂教学的能力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1526" w:type="dxa"/>
            <w:vMerge w:val="continue"/>
            <w:vAlign w:val="center"/>
          </w:tcPr>
          <w:p>
            <w:pPr>
              <w:jc w:val="center"/>
              <w:rPr>
                <w:rFonts w:ascii="宋体" w:hAnsi="宋体"/>
                <w:szCs w:val="21"/>
              </w:rPr>
            </w:pPr>
          </w:p>
        </w:tc>
        <w:tc>
          <w:tcPr>
            <w:tcW w:w="3544" w:type="dxa"/>
            <w:vAlign w:val="center"/>
          </w:tcPr>
          <w:p>
            <w:pPr>
              <w:jc w:val="left"/>
              <w:rPr>
                <w:rFonts w:ascii="宋体" w:hAnsi="宋体"/>
                <w:sz w:val="28"/>
                <w:szCs w:val="21"/>
              </w:rPr>
            </w:pPr>
            <w:r>
              <w:rPr>
                <w:rFonts w:ascii="宋体" w:hAnsi="宋体"/>
                <w:sz w:val="28"/>
                <w:szCs w:val="18"/>
              </w:rPr>
              <w:t>1-3</w:t>
            </w:r>
            <w:r>
              <w:rPr>
                <w:rFonts w:hint="eastAsia" w:ascii="宋体" w:hAnsi="宋体"/>
                <w:sz w:val="28"/>
                <w:szCs w:val="18"/>
              </w:rPr>
              <w:t xml:space="preserve"> 寓思想教育和情感培养于学科知识的传授之中</w:t>
            </w:r>
          </w:p>
        </w:tc>
        <w:tc>
          <w:tcPr>
            <w:tcW w:w="4252" w:type="dxa"/>
            <w:vAlign w:val="center"/>
          </w:tcPr>
          <w:p>
            <w:pPr>
              <w:rPr>
                <w:rFonts w:ascii="宋体" w:hAnsi="宋体"/>
                <w:sz w:val="28"/>
                <w:szCs w:val="18"/>
              </w:rPr>
            </w:pPr>
            <w:r>
              <w:rPr>
                <w:rFonts w:hint="eastAsia" w:ascii="宋体" w:hAnsi="宋体"/>
                <w:sz w:val="28"/>
                <w:szCs w:val="18"/>
              </w:rPr>
              <w:t>1-3-1 充分挖掘教材思想性和艺术性的能力</w:t>
            </w:r>
          </w:p>
          <w:p>
            <w:pPr>
              <w:rPr>
                <w:rFonts w:ascii="宋体" w:hAnsi="宋体"/>
                <w:sz w:val="28"/>
                <w:szCs w:val="21"/>
              </w:rPr>
            </w:pPr>
            <w:r>
              <w:rPr>
                <w:rFonts w:hint="eastAsia" w:ascii="宋体" w:hAnsi="宋体"/>
                <w:sz w:val="28"/>
                <w:szCs w:val="18"/>
              </w:rPr>
              <w:t>1-3-2 运用课堂教学艺术的能力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1526" w:type="dxa"/>
            <w:vMerge w:val="restart"/>
            <w:vAlign w:val="center"/>
          </w:tcPr>
          <w:p>
            <w:pPr>
              <w:jc w:val="center"/>
              <w:rPr>
                <w:rFonts w:ascii="宋体" w:hAnsi="宋体"/>
                <w:szCs w:val="21"/>
              </w:rPr>
            </w:pPr>
            <w:r>
              <w:rPr>
                <w:rFonts w:hint="eastAsia" w:ascii="宋体" w:hAnsi="宋体"/>
                <w:szCs w:val="21"/>
              </w:rPr>
              <w:t>小学生德育和心理健康教育</w:t>
            </w:r>
          </w:p>
          <w:p>
            <w:pPr>
              <w:jc w:val="center"/>
              <w:rPr>
                <w:rFonts w:ascii="宋体" w:hAnsi="宋体"/>
                <w:szCs w:val="21"/>
              </w:rPr>
            </w:pPr>
            <w:r>
              <w:rPr>
                <w:rFonts w:hint="eastAsia" w:ascii="宋体" w:hAnsi="宋体"/>
                <w:szCs w:val="21"/>
              </w:rPr>
              <w:t>5</w:t>
            </w:r>
          </w:p>
        </w:tc>
        <w:tc>
          <w:tcPr>
            <w:tcW w:w="3544" w:type="dxa"/>
            <w:vAlign w:val="center"/>
          </w:tcPr>
          <w:p>
            <w:pPr>
              <w:jc w:val="left"/>
              <w:rPr>
                <w:rFonts w:ascii="宋体" w:hAnsi="宋体"/>
                <w:sz w:val="28"/>
                <w:szCs w:val="18"/>
              </w:rPr>
            </w:pPr>
            <w:r>
              <w:rPr>
                <w:rFonts w:ascii="宋体" w:hAnsi="宋体"/>
                <w:sz w:val="28"/>
                <w:szCs w:val="18"/>
              </w:rPr>
              <w:t>2-1</w:t>
            </w:r>
            <w:r>
              <w:rPr>
                <w:rFonts w:hint="eastAsia" w:ascii="宋体" w:hAnsi="宋体"/>
                <w:sz w:val="28"/>
                <w:szCs w:val="18"/>
              </w:rPr>
              <w:t xml:space="preserve"> 德育为首，对学时进行思想政治和品德教育</w:t>
            </w:r>
          </w:p>
        </w:tc>
        <w:tc>
          <w:tcPr>
            <w:tcW w:w="4252" w:type="dxa"/>
            <w:vAlign w:val="center"/>
          </w:tcPr>
          <w:p>
            <w:pPr>
              <w:rPr>
                <w:rFonts w:ascii="宋体" w:hAnsi="宋体"/>
                <w:sz w:val="28"/>
                <w:szCs w:val="18"/>
              </w:rPr>
            </w:pPr>
            <w:r>
              <w:rPr>
                <w:rFonts w:hint="eastAsia" w:ascii="宋体" w:hAnsi="宋体"/>
                <w:sz w:val="28"/>
                <w:szCs w:val="18"/>
              </w:rPr>
              <w:t>2-1-1 根据学生的思想实际状况和时代特点培养正确的政治方向和良好思想品质的能力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1526" w:type="dxa"/>
            <w:vMerge w:val="continue"/>
            <w:vAlign w:val="center"/>
          </w:tcPr>
          <w:p>
            <w:pPr>
              <w:jc w:val="center"/>
              <w:rPr>
                <w:rFonts w:ascii="宋体" w:hAnsi="宋体"/>
                <w:szCs w:val="21"/>
              </w:rPr>
            </w:pPr>
          </w:p>
        </w:tc>
        <w:tc>
          <w:tcPr>
            <w:tcW w:w="3544" w:type="dxa"/>
            <w:vAlign w:val="center"/>
          </w:tcPr>
          <w:p>
            <w:pPr>
              <w:jc w:val="left"/>
              <w:rPr>
                <w:rFonts w:ascii="宋体" w:hAnsi="宋体"/>
                <w:sz w:val="28"/>
                <w:szCs w:val="18"/>
              </w:rPr>
            </w:pPr>
            <w:r>
              <w:rPr>
                <w:rFonts w:ascii="宋体" w:hAnsi="宋体"/>
                <w:sz w:val="28"/>
                <w:szCs w:val="18"/>
              </w:rPr>
              <w:t>2-2</w:t>
            </w:r>
            <w:r>
              <w:rPr>
                <w:rFonts w:hint="eastAsia" w:ascii="宋体" w:hAnsi="宋体"/>
                <w:sz w:val="28"/>
                <w:szCs w:val="18"/>
              </w:rPr>
              <w:t xml:space="preserve"> 了解学生的心理发展特征和规律，促进其心理健康发展</w:t>
            </w:r>
          </w:p>
        </w:tc>
        <w:tc>
          <w:tcPr>
            <w:tcW w:w="4252" w:type="dxa"/>
            <w:vAlign w:val="center"/>
          </w:tcPr>
          <w:p>
            <w:pPr>
              <w:rPr>
                <w:rFonts w:ascii="宋体" w:hAnsi="宋体"/>
                <w:sz w:val="28"/>
                <w:szCs w:val="18"/>
              </w:rPr>
            </w:pPr>
            <w:r>
              <w:rPr>
                <w:rFonts w:hint="eastAsia" w:ascii="宋体" w:hAnsi="宋体"/>
                <w:sz w:val="28"/>
                <w:szCs w:val="18"/>
              </w:rPr>
              <w:t>2-2-1 觉察和理解</w:t>
            </w:r>
            <w:r>
              <w:rPr>
                <w:rFonts w:ascii="宋体" w:hAnsi="宋体"/>
                <w:sz w:val="28"/>
                <w:szCs w:val="18"/>
              </w:rPr>
              <w:t>学生内心世界的能力和与学生进行良好沟通的能力</w:t>
            </w:r>
          </w:p>
          <w:p>
            <w:pPr>
              <w:rPr>
                <w:rFonts w:ascii="宋体" w:hAnsi="宋体" w:eastAsia="宋体" w:cs="宋体"/>
                <w:kern w:val="0"/>
                <w:sz w:val="24"/>
                <w:szCs w:val="24"/>
              </w:rPr>
            </w:pPr>
            <w:r>
              <w:rPr>
                <w:rFonts w:ascii="宋体" w:hAnsi="宋体"/>
                <w:sz w:val="28"/>
                <w:szCs w:val="18"/>
              </w:rPr>
              <w:t>2-2-2及时发现学生心理问题并有效疏导的能力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1526" w:type="dxa"/>
            <w:vMerge w:val="restart"/>
            <w:vAlign w:val="center"/>
          </w:tcPr>
          <w:p>
            <w:pPr>
              <w:jc w:val="center"/>
              <w:rPr>
                <w:rFonts w:ascii="宋体" w:hAnsi="宋体"/>
                <w:szCs w:val="21"/>
              </w:rPr>
            </w:pPr>
            <w:r>
              <w:rPr>
                <w:rFonts w:hint="eastAsia" w:ascii="宋体" w:hAnsi="宋体"/>
                <w:szCs w:val="21"/>
              </w:rPr>
              <w:t>小学班级管理</w:t>
            </w:r>
          </w:p>
        </w:tc>
        <w:tc>
          <w:tcPr>
            <w:tcW w:w="3544" w:type="dxa"/>
            <w:vAlign w:val="center"/>
          </w:tcPr>
          <w:p>
            <w:pPr>
              <w:rPr>
                <w:rFonts w:ascii="宋体" w:hAnsi="宋体"/>
                <w:sz w:val="28"/>
                <w:szCs w:val="18"/>
              </w:rPr>
            </w:pPr>
            <w:r>
              <w:rPr>
                <w:rFonts w:ascii="宋体" w:hAnsi="宋体"/>
                <w:sz w:val="28"/>
                <w:szCs w:val="18"/>
              </w:rPr>
              <w:t>3-1按照全面发展教育方针的要求，开展班级工作，全面教育和管理学生</w:t>
            </w:r>
          </w:p>
        </w:tc>
        <w:tc>
          <w:tcPr>
            <w:tcW w:w="4252" w:type="dxa"/>
            <w:vAlign w:val="center"/>
          </w:tcPr>
          <w:p>
            <w:pPr>
              <w:rPr>
                <w:rFonts w:ascii="宋体" w:hAnsi="宋体"/>
                <w:sz w:val="28"/>
                <w:szCs w:val="18"/>
              </w:rPr>
            </w:pPr>
            <w:r>
              <w:rPr>
                <w:rFonts w:ascii="宋体" w:hAnsi="宋体"/>
                <w:sz w:val="28"/>
                <w:szCs w:val="18"/>
              </w:rPr>
              <w:t>3-1-1组建班委、树立正确班级舆论、形成良好班风的能力</w:t>
            </w:r>
          </w:p>
          <w:p>
            <w:pPr>
              <w:rPr>
                <w:rFonts w:ascii="宋体" w:hAnsi="宋体"/>
                <w:sz w:val="28"/>
                <w:szCs w:val="18"/>
              </w:rPr>
            </w:pPr>
            <w:r>
              <w:rPr>
                <w:rFonts w:ascii="宋体" w:hAnsi="宋体"/>
                <w:sz w:val="28"/>
                <w:szCs w:val="18"/>
              </w:rPr>
              <w:t>3-1-2根据学校要求顺利开展班级活动的能力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1526" w:type="dxa"/>
            <w:vMerge w:val="continue"/>
            <w:vAlign w:val="center"/>
          </w:tcPr>
          <w:p>
            <w:pPr>
              <w:jc w:val="center"/>
              <w:rPr>
                <w:rFonts w:ascii="宋体" w:hAnsi="宋体"/>
                <w:szCs w:val="21"/>
              </w:rPr>
            </w:pPr>
          </w:p>
        </w:tc>
        <w:tc>
          <w:tcPr>
            <w:tcW w:w="3544" w:type="dxa"/>
            <w:vAlign w:val="center"/>
          </w:tcPr>
          <w:p>
            <w:pPr>
              <w:rPr>
                <w:rFonts w:ascii="宋体" w:hAnsi="宋体"/>
                <w:sz w:val="28"/>
                <w:szCs w:val="18"/>
              </w:rPr>
            </w:pPr>
            <w:r>
              <w:rPr>
                <w:rFonts w:ascii="宋体" w:hAnsi="宋体"/>
                <w:sz w:val="28"/>
                <w:szCs w:val="18"/>
              </w:rPr>
              <w:t>3-2指导和帮助学生个体健康发展的能力</w:t>
            </w:r>
          </w:p>
        </w:tc>
        <w:tc>
          <w:tcPr>
            <w:tcW w:w="4252" w:type="dxa"/>
            <w:vAlign w:val="center"/>
          </w:tcPr>
          <w:p>
            <w:pPr>
              <w:rPr>
                <w:rFonts w:ascii="宋体" w:hAnsi="宋体"/>
                <w:sz w:val="28"/>
                <w:szCs w:val="18"/>
              </w:rPr>
            </w:pPr>
            <w:r>
              <w:rPr>
                <w:rFonts w:ascii="宋体" w:hAnsi="宋体"/>
                <w:sz w:val="28"/>
                <w:szCs w:val="18"/>
              </w:rPr>
              <w:t>3-2-1通过集体或个别教育促进学生的健康发展的能力</w:t>
            </w:r>
            <w:r>
              <w:rPr>
                <w:rFonts w:ascii="宋体" w:hAnsi="宋体"/>
                <w:sz w:val="28"/>
                <w:szCs w:val="18"/>
              </w:rPr>
              <w:br w:type="textWrapping"/>
            </w:r>
            <w:r>
              <w:rPr>
                <w:rFonts w:ascii="宋体" w:hAnsi="宋体"/>
                <w:sz w:val="28"/>
                <w:szCs w:val="18"/>
              </w:rPr>
              <w:t>3-2-2因材施教做好个别教育的能力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1526" w:type="dxa"/>
            <w:vMerge w:val="restart"/>
            <w:vAlign w:val="center"/>
          </w:tcPr>
          <w:p>
            <w:pPr>
              <w:rPr>
                <w:rFonts w:ascii="宋体" w:hAnsi="宋体"/>
                <w:szCs w:val="21"/>
              </w:rPr>
            </w:pPr>
            <w:r>
              <w:rPr>
                <w:rFonts w:hint="eastAsia" w:ascii="宋体" w:hAnsi="宋体"/>
                <w:szCs w:val="21"/>
              </w:rPr>
              <w:t>小学生课外、校外活动</w:t>
            </w:r>
          </w:p>
        </w:tc>
        <w:tc>
          <w:tcPr>
            <w:tcW w:w="3544" w:type="dxa"/>
            <w:vAlign w:val="center"/>
          </w:tcPr>
          <w:p>
            <w:pPr>
              <w:rPr>
                <w:rFonts w:ascii="宋体" w:hAnsi="宋体"/>
                <w:sz w:val="28"/>
                <w:szCs w:val="18"/>
              </w:rPr>
            </w:pPr>
            <w:r>
              <w:rPr>
                <w:rFonts w:ascii="宋体" w:hAnsi="宋体"/>
                <w:sz w:val="28"/>
                <w:szCs w:val="18"/>
              </w:rPr>
              <w:t>4-1发挥学科和活动在促进学生全面发展中的整体作用，丰富学生的精神文化生活</w:t>
            </w:r>
          </w:p>
        </w:tc>
        <w:tc>
          <w:tcPr>
            <w:tcW w:w="4252" w:type="dxa"/>
            <w:vAlign w:val="center"/>
          </w:tcPr>
          <w:p>
            <w:pPr>
              <w:rPr>
                <w:rFonts w:ascii="宋体" w:hAnsi="宋体"/>
                <w:sz w:val="28"/>
                <w:szCs w:val="18"/>
              </w:rPr>
            </w:pPr>
            <w:r>
              <w:rPr>
                <w:rFonts w:ascii="宋体" w:hAnsi="宋体"/>
                <w:sz w:val="28"/>
                <w:szCs w:val="18"/>
              </w:rPr>
              <w:t>4-1-1选择恰当课外活动内谷和行式的能力</w:t>
            </w:r>
          </w:p>
          <w:p>
            <w:pPr>
              <w:rPr>
                <w:rFonts w:ascii="宋体" w:hAnsi="宋体"/>
                <w:sz w:val="28"/>
                <w:szCs w:val="18"/>
              </w:rPr>
            </w:pPr>
            <w:r>
              <w:rPr>
                <w:rFonts w:ascii="宋体" w:hAnsi="宋体"/>
                <w:sz w:val="28"/>
                <w:szCs w:val="18"/>
              </w:rPr>
              <w:t>4-1-2 调动学生积极性和主体性的能力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1526" w:type="dxa"/>
            <w:vMerge w:val="continue"/>
            <w:vAlign w:val="center"/>
          </w:tcPr>
          <w:p>
            <w:pPr>
              <w:rPr>
                <w:rFonts w:ascii="宋体" w:hAnsi="宋体"/>
                <w:szCs w:val="21"/>
              </w:rPr>
            </w:pPr>
          </w:p>
        </w:tc>
        <w:tc>
          <w:tcPr>
            <w:tcW w:w="3544" w:type="dxa"/>
            <w:vAlign w:val="center"/>
          </w:tcPr>
          <w:p>
            <w:pPr>
              <w:rPr>
                <w:rFonts w:ascii="宋体" w:hAnsi="宋体"/>
                <w:sz w:val="28"/>
                <w:szCs w:val="18"/>
              </w:rPr>
            </w:pPr>
            <w:r>
              <w:rPr>
                <w:rFonts w:ascii="宋体" w:hAnsi="宋体"/>
                <w:sz w:val="28"/>
                <w:szCs w:val="18"/>
              </w:rPr>
              <w:t>4-2发展学生兴趣、爱好和特长，促进个性和实践能力的形成与提高</w:t>
            </w:r>
          </w:p>
        </w:tc>
        <w:tc>
          <w:tcPr>
            <w:tcW w:w="4252" w:type="dxa"/>
            <w:vAlign w:val="center"/>
          </w:tcPr>
          <w:p>
            <w:pPr>
              <w:rPr>
                <w:rFonts w:ascii="宋体" w:hAnsi="宋体"/>
                <w:sz w:val="28"/>
                <w:szCs w:val="18"/>
              </w:rPr>
            </w:pPr>
            <w:r>
              <w:rPr>
                <w:rFonts w:ascii="宋体" w:hAnsi="宋体"/>
                <w:sz w:val="28"/>
                <w:szCs w:val="18"/>
              </w:rPr>
              <w:t>4-2-1发现并促进学生个性与特长发展的能力 </w:t>
            </w:r>
          </w:p>
          <w:p>
            <w:pPr>
              <w:rPr>
                <w:rFonts w:ascii="宋体" w:hAnsi="宋体"/>
                <w:sz w:val="28"/>
                <w:szCs w:val="18"/>
              </w:rPr>
            </w:pPr>
            <w:r>
              <w:rPr>
                <w:rFonts w:ascii="宋体" w:hAnsi="宋体"/>
                <w:sz w:val="28"/>
                <w:szCs w:val="18"/>
              </w:rPr>
              <w:t>4-2-2 培养学生实践能力和创新意识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1526" w:type="dxa"/>
            <w:vAlign w:val="center"/>
          </w:tcPr>
          <w:p>
            <w:pPr>
              <w:rPr>
                <w:rFonts w:ascii="宋体" w:hAnsi="宋体"/>
                <w:szCs w:val="21"/>
              </w:rPr>
            </w:pPr>
            <w:r>
              <w:rPr>
                <w:rFonts w:hint="eastAsia" w:ascii="宋体" w:hAnsi="宋体"/>
                <w:szCs w:val="21"/>
              </w:rPr>
              <w:t>小学教改和教科研活动</w:t>
            </w:r>
          </w:p>
        </w:tc>
        <w:tc>
          <w:tcPr>
            <w:tcW w:w="3544" w:type="dxa"/>
            <w:vAlign w:val="center"/>
          </w:tcPr>
          <w:p>
            <w:pPr>
              <w:rPr>
                <w:rFonts w:ascii="宋体" w:hAnsi="宋体"/>
                <w:sz w:val="28"/>
                <w:szCs w:val="18"/>
              </w:rPr>
            </w:pPr>
            <w:r>
              <w:rPr>
                <w:rFonts w:ascii="宋体" w:hAnsi="宋体"/>
                <w:sz w:val="28"/>
                <w:szCs w:val="18"/>
              </w:rPr>
              <w:t>5-1根据小学新课程标准要求，努力探索语文教改、积极进行教科研以不断提高教育教学质量</w:t>
            </w:r>
          </w:p>
        </w:tc>
        <w:tc>
          <w:tcPr>
            <w:tcW w:w="4252" w:type="dxa"/>
            <w:vAlign w:val="center"/>
          </w:tcPr>
          <w:p>
            <w:pPr>
              <w:rPr>
                <w:rFonts w:ascii="宋体" w:hAnsi="宋体"/>
                <w:sz w:val="28"/>
                <w:szCs w:val="18"/>
              </w:rPr>
            </w:pPr>
            <w:r>
              <w:rPr>
                <w:rFonts w:ascii="宋体" w:hAnsi="宋体"/>
                <w:sz w:val="28"/>
                <w:szCs w:val="18"/>
              </w:rPr>
              <w:t>5-1-1良好的文字表达能力</w:t>
            </w:r>
          </w:p>
          <w:p>
            <w:pPr>
              <w:rPr>
                <w:rFonts w:ascii="宋体" w:hAnsi="宋体"/>
                <w:sz w:val="28"/>
                <w:szCs w:val="18"/>
              </w:rPr>
            </w:pPr>
            <w:r>
              <w:rPr>
                <w:rFonts w:ascii="宋体" w:hAnsi="宋体"/>
                <w:sz w:val="28"/>
                <w:szCs w:val="18"/>
              </w:rPr>
              <w:t>5-1-2进行教改和教科研的能力</w:t>
            </w:r>
          </w:p>
        </w:tc>
      </w:tr>
    </w:tbl>
    <w:p>
      <w:pPr>
        <w:pStyle w:val="5"/>
        <w:spacing w:line="560" w:lineRule="exact"/>
        <w:ind w:firstLine="640" w:firstLineChars="200"/>
        <w:jc w:val="left"/>
        <w:rPr>
          <w:rFonts w:ascii="仿宋_GB2312" w:hAnsi="宋体" w:eastAsia="仿宋_GB2312" w:cs="宋体"/>
          <w:color w:val="000000" w:themeColor="text1"/>
          <w:sz w:val="32"/>
          <w:szCs w:val="32"/>
        </w:rPr>
      </w:pPr>
    </w:p>
    <w:p>
      <w:pPr>
        <w:spacing w:line="560" w:lineRule="exact"/>
        <w:rPr>
          <w:rFonts w:ascii="黑体" w:hAnsi="黑体" w:eastAsia="黑体"/>
          <w:sz w:val="32"/>
          <w:szCs w:val="32"/>
        </w:rPr>
      </w:pPr>
      <w:r>
        <w:rPr>
          <w:rFonts w:hint="eastAsia" w:ascii="黑体" w:hAnsi="黑体" w:eastAsia="黑体"/>
          <w:sz w:val="32"/>
          <w:szCs w:val="32"/>
        </w:rPr>
        <w:t>七、课程设置及要求</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课程由必修课程、选修课程、实训与综合实践课程三部分组成。必修课程包括公共基础课程、专业教育课程、教师教育课程和实训实践课程；选修课程是必修课程的延伸、提高和补充，应具备进一步加强专业课、发展学生专长、扩大知识领域、强化技能训练以形成综合教育能力的功能。</w:t>
      </w:r>
    </w:p>
    <w:p>
      <w:pPr>
        <w:spacing w:line="560" w:lineRule="exact"/>
        <w:ind w:firstLine="640" w:firstLineChars="200"/>
        <w:rPr>
          <w:rFonts w:hint="eastAsia" w:ascii="楷体_GB2312" w:eastAsia="楷体_GB2312"/>
          <w:sz w:val="32"/>
          <w:szCs w:val="32"/>
        </w:rPr>
      </w:pPr>
      <w:bookmarkStart w:id="1" w:name="_Toc45806105"/>
      <w:bookmarkStart w:id="2" w:name="_Toc45808033"/>
      <w:bookmarkStart w:id="3" w:name="_Toc14874365"/>
      <w:r>
        <w:rPr>
          <w:rFonts w:hint="eastAsia" w:ascii="楷体_GB2312" w:eastAsia="楷体_GB2312"/>
          <w:sz w:val="32"/>
          <w:szCs w:val="32"/>
          <w:lang w:val="en-US" w:eastAsia="zh-CN"/>
        </w:rPr>
        <w:t>(一)</w:t>
      </w:r>
      <w:r>
        <w:rPr>
          <w:rFonts w:hint="eastAsia" w:ascii="楷体_GB2312" w:eastAsia="楷体_GB2312"/>
          <w:sz w:val="32"/>
          <w:szCs w:val="32"/>
        </w:rPr>
        <w:t>公共基础课程</w:t>
      </w:r>
      <w:bookmarkEnd w:id="1"/>
      <w:bookmarkEnd w:id="2"/>
      <w:bookmarkEnd w:id="3"/>
    </w:p>
    <w:p>
      <w:pPr>
        <w:spacing w:beforeLines="50" w:line="560" w:lineRule="exact"/>
        <w:jc w:val="center"/>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小学教育专业公共基础课程主要教学内容和要求</w:t>
      </w:r>
    </w:p>
    <w:tbl>
      <w:tblPr>
        <w:tblStyle w:val="12"/>
        <w:tblW w:w="887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755"/>
        <w:gridCol w:w="5490"/>
        <w:gridCol w:w="8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shd w:val="clear" w:color="auto" w:fill="auto"/>
          </w:tcPr>
          <w:p>
            <w:pPr>
              <w:widowControl/>
              <w:spacing w:line="480" w:lineRule="exact"/>
              <w:jc w:val="center"/>
              <w:rPr>
                <w:rFonts w:ascii="仿宋_GB2312" w:hAnsi="仿宋_GB2312" w:eastAsia="仿宋_GB2312" w:cs="仿宋_GB2312"/>
                <w:b/>
                <w:bCs/>
                <w:color w:val="000000" w:themeColor="text1"/>
                <w:sz w:val="24"/>
              </w:rPr>
            </w:pPr>
            <w:r>
              <w:rPr>
                <w:rFonts w:hint="eastAsia" w:ascii="仿宋_GB2312" w:hAnsi="仿宋_GB2312" w:eastAsia="仿宋_GB2312" w:cs="仿宋_GB2312"/>
                <w:b/>
                <w:bCs/>
                <w:color w:val="000000" w:themeColor="text1"/>
                <w:sz w:val="24"/>
              </w:rPr>
              <w:t>序号</w:t>
            </w:r>
          </w:p>
        </w:tc>
        <w:tc>
          <w:tcPr>
            <w:tcW w:w="1755" w:type="dxa"/>
            <w:shd w:val="clear" w:color="auto" w:fill="auto"/>
          </w:tcPr>
          <w:p>
            <w:pPr>
              <w:widowControl/>
              <w:spacing w:line="480" w:lineRule="exact"/>
              <w:jc w:val="center"/>
              <w:rPr>
                <w:rFonts w:ascii="仿宋_GB2312" w:hAnsi="仿宋_GB2312" w:eastAsia="仿宋_GB2312" w:cs="仿宋_GB2312"/>
                <w:b/>
                <w:bCs/>
                <w:color w:val="000000" w:themeColor="text1"/>
                <w:sz w:val="24"/>
              </w:rPr>
            </w:pPr>
            <w:r>
              <w:rPr>
                <w:rFonts w:hint="eastAsia" w:ascii="仿宋_GB2312" w:hAnsi="仿宋_GB2312" w:eastAsia="仿宋_GB2312" w:cs="仿宋_GB2312"/>
                <w:b/>
                <w:bCs/>
                <w:color w:val="000000" w:themeColor="text1"/>
                <w:sz w:val="24"/>
              </w:rPr>
              <w:t>课程名称</w:t>
            </w:r>
          </w:p>
        </w:tc>
        <w:tc>
          <w:tcPr>
            <w:tcW w:w="5490" w:type="dxa"/>
            <w:shd w:val="clear" w:color="auto" w:fill="auto"/>
          </w:tcPr>
          <w:p>
            <w:pPr>
              <w:widowControl/>
              <w:spacing w:line="480" w:lineRule="exact"/>
              <w:jc w:val="center"/>
              <w:rPr>
                <w:rFonts w:ascii="仿宋_GB2312" w:hAnsi="仿宋_GB2312" w:eastAsia="仿宋_GB2312" w:cs="仿宋_GB2312"/>
                <w:b/>
                <w:bCs/>
                <w:color w:val="000000" w:themeColor="text1"/>
                <w:sz w:val="24"/>
              </w:rPr>
            </w:pPr>
            <w:r>
              <w:rPr>
                <w:rFonts w:hint="eastAsia" w:ascii="仿宋_GB2312" w:hAnsi="仿宋_GB2312" w:eastAsia="仿宋_GB2312" w:cs="仿宋_GB2312"/>
                <w:b/>
                <w:bCs/>
                <w:color w:val="000000" w:themeColor="text1"/>
                <w:sz w:val="24"/>
              </w:rPr>
              <w:t>主要教学内容和要求</w:t>
            </w:r>
          </w:p>
        </w:tc>
        <w:tc>
          <w:tcPr>
            <w:tcW w:w="885" w:type="dxa"/>
            <w:shd w:val="clear" w:color="auto" w:fill="auto"/>
            <w:vAlign w:val="center"/>
          </w:tcPr>
          <w:p>
            <w:pPr>
              <w:widowControl/>
              <w:spacing w:line="480" w:lineRule="exact"/>
              <w:jc w:val="center"/>
              <w:rPr>
                <w:rFonts w:ascii="仿宋_GB2312" w:hAnsi="仿宋_GB2312" w:eastAsia="仿宋_GB2312" w:cs="仿宋_GB2312"/>
                <w:b/>
                <w:bCs/>
                <w:color w:val="000000" w:themeColor="text1"/>
                <w:sz w:val="24"/>
              </w:rPr>
            </w:pPr>
            <w:r>
              <w:rPr>
                <w:rFonts w:hint="eastAsia" w:ascii="仿宋_GB2312" w:hAnsi="仿宋_GB2312" w:eastAsia="仿宋_GB2312" w:cs="仿宋_GB2312"/>
                <w:b/>
                <w:bCs/>
                <w:color w:val="000000" w:themeColor="text1"/>
                <w:sz w:val="24"/>
              </w:rPr>
              <w:t>学时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shd w:val="clear" w:color="auto" w:fill="auto"/>
            <w:vAlign w:val="center"/>
          </w:tcPr>
          <w:p>
            <w:pPr>
              <w:widowControl/>
              <w:spacing w:line="320" w:lineRule="exact"/>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1</w:t>
            </w:r>
          </w:p>
        </w:tc>
        <w:tc>
          <w:tcPr>
            <w:tcW w:w="1755" w:type="dxa"/>
            <w:shd w:val="clear" w:color="auto" w:fill="auto"/>
            <w:vAlign w:val="center"/>
          </w:tcPr>
          <w:p>
            <w:pPr>
              <w:widowControl/>
              <w:spacing w:line="320" w:lineRule="exact"/>
              <w:jc w:val="center"/>
              <w:rPr>
                <w:rFonts w:ascii="仿宋_GB2312" w:hAnsi="仿宋_GB2312" w:eastAsia="仿宋_GB2312" w:cs="仿宋_GB2312"/>
                <w:color w:val="000000" w:themeColor="text1"/>
                <w:spacing w:val="-20"/>
                <w:szCs w:val="21"/>
              </w:rPr>
            </w:pPr>
            <w:r>
              <w:rPr>
                <w:rFonts w:hint="eastAsia" w:ascii="仿宋_GB2312" w:hAnsi="Times New Roman" w:eastAsia="仿宋_GB2312" w:cs="仿宋_GB2312"/>
                <w:bCs/>
                <w:snapToGrid w:val="0"/>
                <w:color w:val="000000" w:themeColor="text1"/>
                <w:spacing w:val="-20"/>
                <w:szCs w:val="21"/>
              </w:rPr>
              <w:t>思想政治</w:t>
            </w:r>
          </w:p>
        </w:tc>
        <w:tc>
          <w:tcPr>
            <w:tcW w:w="5490" w:type="dxa"/>
            <w:shd w:val="clear" w:color="auto" w:fill="auto"/>
          </w:tcPr>
          <w:p>
            <w:pPr>
              <w:widowControl/>
              <w:spacing w:line="340" w:lineRule="exact"/>
              <w:jc w:val="lef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依据《普通高中思想政治课程标准》开设，并与专业实际和行业发展紧密结合</w:t>
            </w:r>
          </w:p>
        </w:tc>
        <w:tc>
          <w:tcPr>
            <w:tcW w:w="885" w:type="dxa"/>
            <w:shd w:val="clear" w:color="auto" w:fill="auto"/>
            <w:vAlign w:val="center"/>
          </w:tcPr>
          <w:p>
            <w:pPr>
              <w:widowControl/>
              <w:spacing w:line="320" w:lineRule="exact"/>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256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shd w:val="clear" w:color="auto" w:fill="auto"/>
            <w:vAlign w:val="center"/>
          </w:tcPr>
          <w:p>
            <w:pPr>
              <w:widowControl/>
              <w:spacing w:line="320" w:lineRule="exact"/>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2</w:t>
            </w:r>
          </w:p>
        </w:tc>
        <w:tc>
          <w:tcPr>
            <w:tcW w:w="1755" w:type="dxa"/>
            <w:shd w:val="clear" w:color="auto" w:fill="auto"/>
            <w:vAlign w:val="center"/>
          </w:tcPr>
          <w:p>
            <w:pPr>
              <w:widowControl/>
              <w:spacing w:line="320" w:lineRule="exact"/>
              <w:jc w:val="center"/>
              <w:rPr>
                <w:rFonts w:ascii="仿宋_GB2312" w:hAnsi="仿宋_GB2312" w:eastAsia="仿宋_GB2312" w:cs="仿宋_GB2312"/>
                <w:color w:val="000000" w:themeColor="text1"/>
                <w:spacing w:val="-20"/>
                <w:szCs w:val="21"/>
              </w:rPr>
            </w:pPr>
            <w:r>
              <w:rPr>
                <w:rFonts w:ascii="仿宋_GB2312" w:hAnsi="仿宋_GB2312" w:eastAsia="仿宋_GB2312" w:cs="仿宋_GB2312"/>
                <w:color w:val="000000" w:themeColor="text1"/>
                <w:spacing w:val="-20"/>
                <w:szCs w:val="21"/>
              </w:rPr>
              <w:t>语文</w:t>
            </w:r>
          </w:p>
        </w:tc>
        <w:tc>
          <w:tcPr>
            <w:tcW w:w="5490" w:type="dxa"/>
            <w:shd w:val="clear" w:color="auto" w:fill="auto"/>
          </w:tcPr>
          <w:p>
            <w:pPr>
              <w:widowControl/>
              <w:spacing w:line="340" w:lineRule="exact"/>
              <w:jc w:val="lef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依据《普通高中语文课程标准》开设，并与专业实际和行业发展紧密结合</w:t>
            </w:r>
          </w:p>
        </w:tc>
        <w:tc>
          <w:tcPr>
            <w:tcW w:w="885" w:type="dxa"/>
            <w:shd w:val="clear" w:color="auto" w:fill="auto"/>
            <w:vAlign w:val="center"/>
          </w:tcPr>
          <w:p>
            <w:pPr>
              <w:widowControl/>
              <w:spacing w:line="320" w:lineRule="exact"/>
              <w:jc w:val="center"/>
              <w:rPr>
                <w:rFonts w:ascii="仿宋_GB2312" w:hAnsi="仿宋_GB2312" w:eastAsia="仿宋_GB2312" w:cs="仿宋_GB2312"/>
                <w:color w:val="000000" w:themeColor="text1"/>
                <w:szCs w:val="21"/>
              </w:rPr>
            </w:pPr>
            <w:r>
              <w:rPr>
                <w:rFonts w:ascii="仿宋_GB2312" w:hAnsi="仿宋_GB2312" w:eastAsia="仿宋_GB2312" w:cs="仿宋_GB2312"/>
                <w:color w:val="000000" w:themeColor="text1"/>
                <w:szCs w:val="21"/>
              </w:rPr>
              <w:t>384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shd w:val="clear" w:color="auto" w:fill="auto"/>
            <w:vAlign w:val="center"/>
          </w:tcPr>
          <w:p>
            <w:pPr>
              <w:widowControl/>
              <w:spacing w:line="320" w:lineRule="exact"/>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3</w:t>
            </w:r>
          </w:p>
        </w:tc>
        <w:tc>
          <w:tcPr>
            <w:tcW w:w="1755" w:type="dxa"/>
            <w:shd w:val="clear" w:color="auto" w:fill="auto"/>
            <w:vAlign w:val="center"/>
          </w:tcPr>
          <w:p>
            <w:pPr>
              <w:widowControl/>
              <w:spacing w:line="320" w:lineRule="exact"/>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数学</w:t>
            </w:r>
          </w:p>
        </w:tc>
        <w:tc>
          <w:tcPr>
            <w:tcW w:w="5490" w:type="dxa"/>
            <w:shd w:val="clear" w:color="auto" w:fill="auto"/>
          </w:tcPr>
          <w:p>
            <w:pPr>
              <w:spacing w:line="340" w:lineRule="exact"/>
              <w:jc w:val="lef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依据《普通高中数学教学大纲》开设，并与专业实际和行业发展紧密结合</w:t>
            </w:r>
          </w:p>
        </w:tc>
        <w:tc>
          <w:tcPr>
            <w:tcW w:w="885" w:type="dxa"/>
            <w:shd w:val="clear" w:color="auto" w:fill="auto"/>
            <w:vAlign w:val="center"/>
          </w:tcPr>
          <w:p>
            <w:pPr>
              <w:widowControl/>
              <w:spacing w:line="320" w:lineRule="exact"/>
              <w:jc w:val="center"/>
              <w:rPr>
                <w:rFonts w:ascii="仿宋_GB2312" w:hAnsi="仿宋_GB2312" w:eastAsia="仿宋_GB2312" w:cs="仿宋_GB2312"/>
                <w:color w:val="000000" w:themeColor="text1"/>
                <w:szCs w:val="21"/>
              </w:rPr>
            </w:pPr>
            <w:r>
              <w:rPr>
                <w:rFonts w:ascii="仿宋_GB2312" w:hAnsi="仿宋_GB2312" w:eastAsia="仿宋_GB2312" w:cs="仿宋_GB2312"/>
                <w:color w:val="000000" w:themeColor="text1"/>
                <w:szCs w:val="21"/>
              </w:rPr>
              <w:t>320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shd w:val="clear" w:color="auto" w:fill="auto"/>
            <w:vAlign w:val="center"/>
          </w:tcPr>
          <w:p>
            <w:pPr>
              <w:widowControl/>
              <w:spacing w:line="320" w:lineRule="exact"/>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4</w:t>
            </w:r>
          </w:p>
        </w:tc>
        <w:tc>
          <w:tcPr>
            <w:tcW w:w="1755" w:type="dxa"/>
            <w:shd w:val="clear" w:color="auto" w:fill="auto"/>
            <w:vAlign w:val="center"/>
          </w:tcPr>
          <w:p>
            <w:pPr>
              <w:widowControl/>
              <w:spacing w:line="320" w:lineRule="exact"/>
              <w:jc w:val="center"/>
              <w:rPr>
                <w:rFonts w:ascii="仿宋_GB2312" w:hAnsi="仿宋_GB2312" w:eastAsia="仿宋_GB2312" w:cs="仿宋_GB2312"/>
                <w:color w:val="000000" w:themeColor="text1"/>
                <w:spacing w:val="-20"/>
                <w:szCs w:val="21"/>
              </w:rPr>
            </w:pPr>
            <w:r>
              <w:rPr>
                <w:rFonts w:hint="eastAsia" w:ascii="仿宋_GB2312" w:hAnsi="仿宋_GB2312" w:eastAsia="仿宋_GB2312" w:cs="仿宋_GB2312"/>
                <w:color w:val="000000" w:themeColor="text1"/>
                <w:spacing w:val="-20"/>
                <w:szCs w:val="21"/>
              </w:rPr>
              <w:t>英语</w:t>
            </w:r>
          </w:p>
        </w:tc>
        <w:tc>
          <w:tcPr>
            <w:tcW w:w="5490" w:type="dxa"/>
            <w:shd w:val="clear" w:color="auto" w:fill="auto"/>
          </w:tcPr>
          <w:p>
            <w:pPr>
              <w:widowControl/>
              <w:spacing w:line="340" w:lineRule="exact"/>
              <w:jc w:val="lef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依据《普通高中学校英语课程标准》开设，并与专业实际和行业发展紧密结合</w:t>
            </w:r>
          </w:p>
        </w:tc>
        <w:tc>
          <w:tcPr>
            <w:tcW w:w="885" w:type="dxa"/>
            <w:shd w:val="clear" w:color="auto" w:fill="auto"/>
            <w:vAlign w:val="center"/>
          </w:tcPr>
          <w:p>
            <w:pPr>
              <w:widowControl/>
              <w:spacing w:line="320" w:lineRule="exact"/>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512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shd w:val="clear" w:color="auto" w:fill="auto"/>
            <w:vAlign w:val="center"/>
          </w:tcPr>
          <w:p>
            <w:pPr>
              <w:widowControl/>
              <w:spacing w:line="320" w:lineRule="exact"/>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5</w:t>
            </w:r>
          </w:p>
        </w:tc>
        <w:tc>
          <w:tcPr>
            <w:tcW w:w="1755" w:type="dxa"/>
            <w:shd w:val="clear" w:color="auto" w:fill="auto"/>
            <w:vAlign w:val="center"/>
          </w:tcPr>
          <w:p>
            <w:pPr>
              <w:widowControl/>
              <w:spacing w:line="320" w:lineRule="exact"/>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计算机</w:t>
            </w:r>
          </w:p>
        </w:tc>
        <w:tc>
          <w:tcPr>
            <w:tcW w:w="5490" w:type="dxa"/>
            <w:shd w:val="clear" w:color="auto" w:fill="auto"/>
          </w:tcPr>
          <w:p>
            <w:pPr>
              <w:widowControl/>
              <w:spacing w:line="340" w:lineRule="exact"/>
              <w:jc w:val="lef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依据《中等职业学校公共艺术教学大纲》开设，并与专业实际和行业发展紧密结合</w:t>
            </w:r>
          </w:p>
        </w:tc>
        <w:tc>
          <w:tcPr>
            <w:tcW w:w="885" w:type="dxa"/>
            <w:shd w:val="clear" w:color="auto" w:fill="auto"/>
            <w:vAlign w:val="center"/>
          </w:tcPr>
          <w:p>
            <w:pPr>
              <w:widowControl/>
              <w:spacing w:line="320" w:lineRule="exact"/>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128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shd w:val="clear" w:color="auto" w:fill="auto"/>
            <w:vAlign w:val="center"/>
          </w:tcPr>
          <w:p>
            <w:pPr>
              <w:widowControl/>
              <w:spacing w:line="320" w:lineRule="exact"/>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6</w:t>
            </w:r>
          </w:p>
        </w:tc>
        <w:tc>
          <w:tcPr>
            <w:tcW w:w="1755" w:type="dxa"/>
            <w:shd w:val="clear" w:color="auto" w:fill="auto"/>
            <w:vAlign w:val="center"/>
          </w:tcPr>
          <w:p>
            <w:pPr>
              <w:widowControl/>
              <w:spacing w:line="320" w:lineRule="exact"/>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体育</w:t>
            </w:r>
          </w:p>
        </w:tc>
        <w:tc>
          <w:tcPr>
            <w:tcW w:w="5490" w:type="dxa"/>
            <w:shd w:val="clear" w:color="auto" w:fill="auto"/>
          </w:tcPr>
          <w:p>
            <w:pPr>
              <w:widowControl/>
              <w:spacing w:line="340" w:lineRule="exact"/>
              <w:jc w:val="lef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依据《中等职业学校公共艺术教学大纲》开设，并与专业实际和行业发展紧密结合</w:t>
            </w:r>
          </w:p>
        </w:tc>
        <w:tc>
          <w:tcPr>
            <w:tcW w:w="885" w:type="dxa"/>
            <w:shd w:val="clear" w:color="auto" w:fill="auto"/>
            <w:vAlign w:val="center"/>
          </w:tcPr>
          <w:p>
            <w:pPr>
              <w:widowControl/>
              <w:spacing w:line="320" w:lineRule="exact"/>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64</w:t>
            </w:r>
          </w:p>
        </w:tc>
      </w:tr>
    </w:tbl>
    <w:p>
      <w:pPr>
        <w:pStyle w:val="3"/>
        <w:numPr>
          <w:numId w:val="0"/>
        </w:numPr>
        <w:spacing w:before="156" w:after="156"/>
        <w:ind w:leftChars="0"/>
        <w:jc w:val="left"/>
        <w:rPr>
          <w:rFonts w:hint="eastAsia" w:ascii="楷体_GB2312" w:eastAsia="楷体_GB2312" w:hAnsiTheme="minorHAnsi" w:cstheme="minorBidi"/>
          <w:bCs w:val="0"/>
          <w:kern w:val="2"/>
          <w:sz w:val="32"/>
          <w:szCs w:val="32"/>
          <w:lang w:val="en-US" w:eastAsia="zh-CN" w:bidi="ar-SA"/>
        </w:rPr>
      </w:pPr>
      <w:r>
        <w:rPr>
          <w:rFonts w:hint="eastAsia" w:ascii="楷体_GB2312" w:eastAsia="楷体_GB2312" w:hAnsiTheme="minorHAnsi" w:cstheme="minorBidi"/>
          <w:bCs w:val="0"/>
          <w:kern w:val="2"/>
          <w:sz w:val="32"/>
          <w:szCs w:val="32"/>
          <w:lang w:val="en-US" w:eastAsia="zh-CN" w:bidi="ar-SA"/>
        </w:rPr>
        <w:t>（二）专业教育课程</w:t>
      </w:r>
    </w:p>
    <w:p>
      <w:pPr>
        <w:spacing w:line="560" w:lineRule="exact"/>
        <w:jc w:val="center"/>
        <w:rPr>
          <w:rFonts w:ascii="仿宋_GB2312" w:hAnsi="Times New Roman" w:eastAsia="仿宋_GB2312" w:cs="仿宋_GB2312"/>
          <w:bCs/>
          <w:snapToGrid w:val="0"/>
          <w:color w:val="000000" w:themeColor="text1"/>
          <w:sz w:val="32"/>
          <w:szCs w:val="32"/>
        </w:rPr>
      </w:pPr>
      <w:r>
        <w:rPr>
          <w:rFonts w:hint="eastAsia" w:ascii="仿宋_GB2312" w:hAnsi="Times New Roman" w:eastAsia="仿宋_GB2312" w:cs="仿宋_GB2312"/>
          <w:bCs/>
          <w:snapToGrid w:val="0"/>
          <w:color w:val="000000" w:themeColor="text1"/>
          <w:sz w:val="32"/>
          <w:szCs w:val="32"/>
        </w:rPr>
        <w:t>小学教育专业专业教育课程主要教学内容和要求</w:t>
      </w:r>
    </w:p>
    <w:tbl>
      <w:tblPr>
        <w:tblStyle w:val="12"/>
        <w:tblW w:w="875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898"/>
        <w:gridCol w:w="4982"/>
        <w:gridCol w:w="10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7" w:type="dxa"/>
            <w:vAlign w:val="center"/>
          </w:tcPr>
          <w:p>
            <w:pPr>
              <w:spacing w:line="480" w:lineRule="exact"/>
              <w:jc w:val="center"/>
              <w:rPr>
                <w:rFonts w:ascii="仿宋_GB2312" w:hAnsi="仿宋_GB2312" w:eastAsia="仿宋_GB2312" w:cs="Times New Roman"/>
                <w:b/>
                <w:bCs/>
                <w:color w:val="000000" w:themeColor="text1"/>
                <w:sz w:val="24"/>
                <w:szCs w:val="24"/>
              </w:rPr>
            </w:pPr>
            <w:r>
              <w:rPr>
                <w:rFonts w:hint="eastAsia" w:ascii="仿宋_GB2312" w:hAnsi="仿宋_GB2312" w:eastAsia="仿宋_GB2312" w:cs="仿宋_GB2312"/>
                <w:b/>
                <w:bCs/>
                <w:color w:val="000000" w:themeColor="text1"/>
                <w:sz w:val="24"/>
                <w:szCs w:val="24"/>
              </w:rPr>
              <w:t>序号</w:t>
            </w:r>
          </w:p>
        </w:tc>
        <w:tc>
          <w:tcPr>
            <w:tcW w:w="1898" w:type="dxa"/>
            <w:vAlign w:val="center"/>
          </w:tcPr>
          <w:p>
            <w:pPr>
              <w:spacing w:line="480" w:lineRule="exact"/>
              <w:jc w:val="center"/>
              <w:rPr>
                <w:rFonts w:ascii="仿宋_GB2312" w:hAnsi="仿宋_GB2312" w:eastAsia="仿宋_GB2312" w:cs="Times New Roman"/>
                <w:b/>
                <w:bCs/>
                <w:color w:val="000000" w:themeColor="text1"/>
                <w:sz w:val="24"/>
                <w:szCs w:val="24"/>
              </w:rPr>
            </w:pPr>
            <w:r>
              <w:rPr>
                <w:rFonts w:hint="eastAsia" w:ascii="仿宋_GB2312" w:hAnsi="仿宋_GB2312" w:eastAsia="仿宋_GB2312" w:cs="仿宋_GB2312"/>
                <w:b/>
                <w:bCs/>
                <w:color w:val="000000" w:themeColor="text1"/>
                <w:sz w:val="24"/>
                <w:szCs w:val="24"/>
              </w:rPr>
              <w:t>课程名称</w:t>
            </w:r>
          </w:p>
        </w:tc>
        <w:tc>
          <w:tcPr>
            <w:tcW w:w="4982" w:type="dxa"/>
            <w:vAlign w:val="center"/>
          </w:tcPr>
          <w:p>
            <w:pPr>
              <w:spacing w:line="480" w:lineRule="exact"/>
              <w:jc w:val="center"/>
              <w:rPr>
                <w:rFonts w:ascii="仿宋_GB2312" w:hAnsi="仿宋_GB2312" w:eastAsia="仿宋_GB2312" w:cs="Times New Roman"/>
                <w:b/>
                <w:bCs/>
                <w:color w:val="000000" w:themeColor="text1"/>
                <w:sz w:val="24"/>
                <w:szCs w:val="24"/>
              </w:rPr>
            </w:pPr>
            <w:r>
              <w:rPr>
                <w:rFonts w:hint="eastAsia" w:ascii="仿宋_GB2312" w:hAnsi="仿宋_GB2312" w:eastAsia="仿宋_GB2312" w:cs="仿宋_GB2312"/>
                <w:b/>
                <w:bCs/>
                <w:color w:val="000000" w:themeColor="text1"/>
                <w:sz w:val="24"/>
                <w:szCs w:val="24"/>
              </w:rPr>
              <w:t>主要教学内容和要求</w:t>
            </w:r>
          </w:p>
        </w:tc>
        <w:tc>
          <w:tcPr>
            <w:tcW w:w="1005" w:type="dxa"/>
            <w:vAlign w:val="center"/>
          </w:tcPr>
          <w:p>
            <w:pPr>
              <w:spacing w:line="480" w:lineRule="exact"/>
              <w:jc w:val="center"/>
              <w:rPr>
                <w:rFonts w:ascii="仿宋_GB2312" w:hAnsi="仿宋_GB2312" w:eastAsia="仿宋_GB2312" w:cs="Times New Roman"/>
                <w:b/>
                <w:bCs/>
                <w:color w:val="000000" w:themeColor="text1"/>
                <w:sz w:val="24"/>
                <w:szCs w:val="24"/>
              </w:rPr>
            </w:pPr>
            <w:r>
              <w:rPr>
                <w:rFonts w:hint="eastAsia" w:ascii="仿宋_GB2312" w:hAnsi="仿宋_GB2312" w:eastAsia="仿宋_GB2312" w:cs="仿宋_GB2312"/>
                <w:b/>
                <w:bCs/>
                <w:color w:val="000000" w:themeColor="text1"/>
                <w:sz w:val="24"/>
                <w:szCs w:val="24"/>
              </w:rPr>
              <w:t>学时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67" w:type="dxa"/>
            <w:vAlign w:val="center"/>
          </w:tcPr>
          <w:p>
            <w:pPr>
              <w:spacing w:line="56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p>
        </w:tc>
        <w:tc>
          <w:tcPr>
            <w:tcW w:w="1898" w:type="dxa"/>
            <w:vAlign w:val="center"/>
          </w:tcPr>
          <w:p>
            <w:pPr>
              <w:jc w:val="center"/>
            </w:pPr>
            <w:r>
              <w:rPr>
                <w:rFonts w:hint="eastAsia" w:ascii="仿宋_GB2312" w:hAnsi="仿宋_GB2312" w:eastAsia="仿宋_GB2312" w:cs="仿宋_GB2312"/>
                <w:color w:val="000000" w:themeColor="text1"/>
                <w:szCs w:val="21"/>
              </w:rPr>
              <w:t>普通话</w:t>
            </w:r>
          </w:p>
        </w:tc>
        <w:tc>
          <w:tcPr>
            <w:tcW w:w="4982" w:type="dxa"/>
            <w:vAlign w:val="center"/>
          </w:tcPr>
          <w:p>
            <w:pPr>
              <w:widowControl/>
              <w:spacing w:line="340" w:lineRule="exact"/>
              <w:jc w:val="left"/>
              <w:rPr>
                <w:rFonts w:ascii="宋体" w:hAnsi="宋体" w:eastAsia="宋体" w:cs="宋体"/>
                <w:kern w:val="0"/>
                <w:sz w:val="24"/>
                <w:szCs w:val="24"/>
              </w:rPr>
            </w:pPr>
            <w:r>
              <w:rPr>
                <w:rFonts w:hint="eastAsia" w:ascii="仿宋_GB2312" w:hAnsi="仿宋_GB2312" w:eastAsia="仿宋_GB2312" w:cs="仿宋_GB2312"/>
                <w:color w:val="000000" w:themeColor="text1"/>
                <w:szCs w:val="21"/>
              </w:rPr>
              <w:t>能够运用标准或比较标准的普通话，进行一般口语交际并开展教育、教学等活动。能够根据不同的教育教学情境的需要科学、严谨、简明、生动地组织语言，具有启发性和感染力；语言表达清晰、流畅，语态自然大方，有一定应变能力</w:t>
            </w:r>
          </w:p>
        </w:tc>
        <w:tc>
          <w:tcPr>
            <w:tcW w:w="1005" w:type="dxa"/>
            <w:vAlign w:val="center"/>
          </w:tcPr>
          <w:p>
            <w:pPr>
              <w:widowControl/>
              <w:spacing w:line="320" w:lineRule="exact"/>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67" w:type="dxa"/>
            <w:vAlign w:val="center"/>
          </w:tcPr>
          <w:p>
            <w:pPr>
              <w:spacing w:line="56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p>
        </w:tc>
        <w:tc>
          <w:tcPr>
            <w:tcW w:w="1898" w:type="dxa"/>
            <w:vAlign w:val="center"/>
          </w:tcPr>
          <w:p>
            <w:pPr>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书法</w:t>
            </w:r>
          </w:p>
        </w:tc>
        <w:tc>
          <w:tcPr>
            <w:tcW w:w="4982" w:type="dxa"/>
            <w:vAlign w:val="center"/>
          </w:tcPr>
          <w:p>
            <w:pPr>
              <w:spacing w:line="340" w:lineRule="exact"/>
              <w:jc w:val="lef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能写规范、端正的铅笔字、钢笔字和粉笔字，提倡会写毛笔字</w:t>
            </w:r>
          </w:p>
        </w:tc>
        <w:tc>
          <w:tcPr>
            <w:tcW w:w="1005" w:type="dxa"/>
            <w:vAlign w:val="center"/>
          </w:tcPr>
          <w:p>
            <w:pPr>
              <w:widowControl/>
              <w:spacing w:line="320" w:lineRule="exact"/>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64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67" w:type="dxa"/>
            <w:vAlign w:val="center"/>
          </w:tcPr>
          <w:p>
            <w:pPr>
              <w:spacing w:line="56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p>
        </w:tc>
        <w:tc>
          <w:tcPr>
            <w:tcW w:w="1898" w:type="dxa"/>
            <w:vAlign w:val="center"/>
          </w:tcPr>
          <w:p>
            <w:pPr>
              <w:jc w:val="center"/>
            </w:pPr>
            <w:r>
              <w:rPr>
                <w:rFonts w:hint="eastAsia" w:ascii="仿宋_GB2312" w:hAnsi="仿宋_GB2312" w:eastAsia="仿宋_GB2312" w:cs="仿宋_GB2312"/>
                <w:color w:val="000000" w:themeColor="text1"/>
                <w:szCs w:val="21"/>
              </w:rPr>
              <w:t>历史</w:t>
            </w:r>
          </w:p>
        </w:tc>
        <w:tc>
          <w:tcPr>
            <w:tcW w:w="4982" w:type="dxa"/>
            <w:vAlign w:val="center"/>
          </w:tcPr>
          <w:p>
            <w:pPr>
              <w:spacing w:line="340" w:lineRule="exact"/>
              <w:jc w:val="lef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依据《普通高中学校历史课程标准》开设，并与专业实际和行业发展紧密结合</w:t>
            </w:r>
          </w:p>
        </w:tc>
        <w:tc>
          <w:tcPr>
            <w:tcW w:w="1005" w:type="dxa"/>
            <w:vAlign w:val="center"/>
          </w:tcPr>
          <w:p>
            <w:pPr>
              <w:widowControl/>
              <w:spacing w:line="320" w:lineRule="exact"/>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64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867" w:type="dxa"/>
            <w:vAlign w:val="center"/>
          </w:tcPr>
          <w:p>
            <w:pPr>
              <w:spacing w:line="360" w:lineRule="auto"/>
              <w:jc w:val="center"/>
              <w:rPr>
                <w:rFonts w:ascii="宋体" w:hAnsi="宋体" w:cs="宋体"/>
                <w:color w:val="000000" w:themeColor="text1"/>
                <w:sz w:val="22"/>
              </w:rPr>
            </w:pPr>
            <w:r>
              <w:rPr>
                <w:rFonts w:ascii="宋体" w:hAnsi="宋体" w:cs="宋体"/>
                <w:color w:val="000000" w:themeColor="text1"/>
                <w:sz w:val="22"/>
              </w:rPr>
              <w:t>4</w:t>
            </w:r>
          </w:p>
        </w:tc>
        <w:tc>
          <w:tcPr>
            <w:tcW w:w="1898" w:type="dxa"/>
            <w:vAlign w:val="center"/>
          </w:tcPr>
          <w:p>
            <w:pPr>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地理</w:t>
            </w:r>
          </w:p>
        </w:tc>
        <w:tc>
          <w:tcPr>
            <w:tcW w:w="4982" w:type="dxa"/>
          </w:tcPr>
          <w:p>
            <w:pPr>
              <w:spacing w:line="340" w:lineRule="exact"/>
              <w:jc w:val="lef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依据《普通高中学校历史课程标准》开设，并与专业实际和行业发展紧密结合</w:t>
            </w:r>
          </w:p>
        </w:tc>
        <w:tc>
          <w:tcPr>
            <w:tcW w:w="1005" w:type="dxa"/>
            <w:vAlign w:val="center"/>
          </w:tcPr>
          <w:p>
            <w:pPr>
              <w:widowControl/>
              <w:spacing w:line="320" w:lineRule="exact"/>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64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867" w:type="dxa"/>
            <w:vAlign w:val="center"/>
          </w:tcPr>
          <w:p>
            <w:pPr>
              <w:spacing w:line="360" w:lineRule="auto"/>
              <w:jc w:val="center"/>
              <w:rPr>
                <w:rFonts w:ascii="宋体" w:hAnsi="宋体" w:cs="宋体"/>
                <w:color w:val="000000" w:themeColor="text1"/>
                <w:sz w:val="22"/>
              </w:rPr>
            </w:pPr>
            <w:r>
              <w:rPr>
                <w:rFonts w:hint="eastAsia" w:ascii="宋体" w:hAnsi="宋体" w:cs="宋体"/>
                <w:color w:val="000000" w:themeColor="text1"/>
                <w:sz w:val="22"/>
              </w:rPr>
              <w:t>5</w:t>
            </w:r>
          </w:p>
        </w:tc>
        <w:tc>
          <w:tcPr>
            <w:tcW w:w="1898" w:type="dxa"/>
            <w:vAlign w:val="center"/>
          </w:tcPr>
          <w:p>
            <w:pPr>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化学</w:t>
            </w:r>
          </w:p>
        </w:tc>
        <w:tc>
          <w:tcPr>
            <w:tcW w:w="4982" w:type="dxa"/>
          </w:tcPr>
          <w:p>
            <w:pPr>
              <w:spacing w:line="340" w:lineRule="exact"/>
              <w:jc w:val="lef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依据《普通高中学校化学课程标准》开设，并与专业实际和行业发展紧密结合</w:t>
            </w:r>
          </w:p>
        </w:tc>
        <w:tc>
          <w:tcPr>
            <w:tcW w:w="1005" w:type="dxa"/>
            <w:vAlign w:val="center"/>
          </w:tcPr>
          <w:p>
            <w:pPr>
              <w:widowControl/>
              <w:spacing w:line="320" w:lineRule="exact"/>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64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867" w:type="dxa"/>
            <w:vAlign w:val="center"/>
          </w:tcPr>
          <w:p>
            <w:pPr>
              <w:spacing w:line="360" w:lineRule="auto"/>
              <w:jc w:val="center"/>
              <w:rPr>
                <w:rFonts w:ascii="仿宋_GB2312" w:hAnsi="仿宋_GB2312" w:eastAsia="仿宋_GB2312" w:cs="仿宋_GB2312"/>
                <w:color w:val="000000" w:themeColor="text1"/>
                <w:szCs w:val="21"/>
              </w:rPr>
            </w:pPr>
            <w:r>
              <w:rPr>
                <w:rFonts w:ascii="宋体" w:hAnsi="宋体" w:cs="宋体"/>
                <w:color w:val="000000" w:themeColor="text1"/>
                <w:sz w:val="22"/>
              </w:rPr>
              <w:t>6</w:t>
            </w:r>
          </w:p>
        </w:tc>
        <w:tc>
          <w:tcPr>
            <w:tcW w:w="1898" w:type="dxa"/>
            <w:vAlign w:val="center"/>
          </w:tcPr>
          <w:p>
            <w:pPr>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物理</w:t>
            </w:r>
          </w:p>
        </w:tc>
        <w:tc>
          <w:tcPr>
            <w:tcW w:w="4982" w:type="dxa"/>
          </w:tcPr>
          <w:p>
            <w:pPr>
              <w:spacing w:line="340" w:lineRule="exact"/>
              <w:jc w:val="lef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依据《普通高中学校物理课程标准》开设，并与专业实际和行业发展紧密结合</w:t>
            </w:r>
          </w:p>
        </w:tc>
        <w:tc>
          <w:tcPr>
            <w:tcW w:w="1005" w:type="dxa"/>
            <w:vAlign w:val="center"/>
          </w:tcPr>
          <w:p>
            <w:pPr>
              <w:widowControl/>
              <w:spacing w:line="320" w:lineRule="exact"/>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64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867" w:type="dxa"/>
            <w:vAlign w:val="center"/>
          </w:tcPr>
          <w:p>
            <w:pPr>
              <w:spacing w:line="360" w:lineRule="auto"/>
              <w:jc w:val="center"/>
              <w:rPr>
                <w:rFonts w:ascii="宋体" w:hAnsi="宋体" w:cs="宋体"/>
                <w:color w:val="000000" w:themeColor="text1"/>
                <w:sz w:val="22"/>
              </w:rPr>
            </w:pPr>
            <w:r>
              <w:rPr>
                <w:rFonts w:hint="eastAsia" w:ascii="宋体" w:hAnsi="宋体" w:cs="宋体"/>
                <w:color w:val="000000" w:themeColor="text1"/>
                <w:sz w:val="22"/>
              </w:rPr>
              <w:t>7</w:t>
            </w:r>
          </w:p>
        </w:tc>
        <w:tc>
          <w:tcPr>
            <w:tcW w:w="1898" w:type="dxa"/>
            <w:vAlign w:val="center"/>
          </w:tcPr>
          <w:p>
            <w:pPr>
              <w:jc w:val="center"/>
            </w:pPr>
            <w:r>
              <w:rPr>
                <w:rFonts w:hint="eastAsia" w:ascii="仿宋_GB2312" w:hAnsi="仿宋_GB2312" w:eastAsia="仿宋_GB2312" w:cs="仿宋_GB2312"/>
                <w:color w:val="000000" w:themeColor="text1"/>
                <w:szCs w:val="21"/>
              </w:rPr>
              <w:t>生物</w:t>
            </w:r>
          </w:p>
        </w:tc>
        <w:tc>
          <w:tcPr>
            <w:tcW w:w="4982" w:type="dxa"/>
          </w:tcPr>
          <w:p>
            <w:pPr>
              <w:spacing w:line="340" w:lineRule="exact"/>
              <w:jc w:val="lef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依据《普通高中学校生物课程标准》开设，并与专业实际和行业发展紧密结合</w:t>
            </w:r>
          </w:p>
        </w:tc>
        <w:tc>
          <w:tcPr>
            <w:tcW w:w="1005" w:type="dxa"/>
            <w:vAlign w:val="center"/>
          </w:tcPr>
          <w:p>
            <w:pPr>
              <w:widowControl/>
              <w:spacing w:line="320" w:lineRule="exact"/>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64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867" w:type="dxa"/>
            <w:vAlign w:val="center"/>
          </w:tcPr>
          <w:p>
            <w:pPr>
              <w:spacing w:line="360" w:lineRule="auto"/>
              <w:jc w:val="center"/>
              <w:rPr>
                <w:rFonts w:ascii="宋体" w:hAnsi="宋体" w:cs="宋体"/>
                <w:color w:val="000000" w:themeColor="text1"/>
                <w:sz w:val="22"/>
              </w:rPr>
            </w:pPr>
            <w:r>
              <w:rPr>
                <w:rFonts w:ascii="宋体" w:hAnsi="宋体" w:cs="宋体"/>
                <w:color w:val="000000" w:themeColor="text1"/>
                <w:sz w:val="22"/>
              </w:rPr>
              <w:t>8</w:t>
            </w:r>
          </w:p>
        </w:tc>
        <w:tc>
          <w:tcPr>
            <w:tcW w:w="1898" w:type="dxa"/>
            <w:vAlign w:val="center"/>
          </w:tcPr>
          <w:p>
            <w:pPr>
              <w:jc w:val="center"/>
            </w:pPr>
            <w:r>
              <w:rPr>
                <w:rFonts w:hint="eastAsia" w:ascii="仿宋_GB2312" w:hAnsi="仿宋_GB2312" w:eastAsia="仿宋_GB2312" w:cs="仿宋_GB2312"/>
                <w:color w:val="000000" w:themeColor="text1"/>
                <w:szCs w:val="21"/>
              </w:rPr>
              <w:t>音乐</w:t>
            </w:r>
          </w:p>
        </w:tc>
        <w:tc>
          <w:tcPr>
            <w:tcW w:w="4982" w:type="dxa"/>
          </w:tcPr>
          <w:p>
            <w:pPr>
              <w:spacing w:line="340" w:lineRule="exact"/>
              <w:jc w:val="lef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掌握正确的音准、节奏和基本的情感表达能力；能识谱演唱一般的歌曲，能听辨和分析一般音乐作品的调试、调性、节拍、节奏、音程等要素。发展音乐听觉和记忆；积累音乐语言</w:t>
            </w:r>
          </w:p>
        </w:tc>
        <w:tc>
          <w:tcPr>
            <w:tcW w:w="1005" w:type="dxa"/>
            <w:vAlign w:val="center"/>
          </w:tcPr>
          <w:p>
            <w:pPr>
              <w:widowControl/>
              <w:spacing w:line="320" w:lineRule="exact"/>
              <w:jc w:val="center"/>
              <w:rPr>
                <w:rFonts w:ascii="仿宋_GB2312" w:hAnsi="仿宋_GB2312" w:eastAsia="仿宋_GB2312" w:cs="仿宋_GB2312"/>
                <w:color w:val="000000" w:themeColor="text1"/>
                <w:szCs w:val="21"/>
              </w:rPr>
            </w:pPr>
            <w:r>
              <w:rPr>
                <w:rFonts w:ascii="仿宋_GB2312" w:hAnsi="仿宋_GB2312" w:eastAsia="仿宋_GB2312" w:cs="仿宋_GB2312"/>
                <w:color w:val="000000" w:themeColor="text1"/>
                <w:szCs w:val="21"/>
              </w:rPr>
              <w:t>192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867" w:type="dxa"/>
            <w:vAlign w:val="center"/>
          </w:tcPr>
          <w:p>
            <w:pPr>
              <w:spacing w:line="360" w:lineRule="auto"/>
              <w:jc w:val="center"/>
              <w:rPr>
                <w:rFonts w:ascii="宋体" w:hAnsi="宋体" w:cs="宋体"/>
                <w:color w:val="000000" w:themeColor="text1"/>
                <w:sz w:val="22"/>
              </w:rPr>
            </w:pPr>
            <w:r>
              <w:rPr>
                <w:rFonts w:ascii="宋体" w:hAnsi="宋体" w:cs="宋体"/>
                <w:color w:val="000000" w:themeColor="text1"/>
                <w:sz w:val="22"/>
              </w:rPr>
              <w:t>9</w:t>
            </w:r>
          </w:p>
        </w:tc>
        <w:tc>
          <w:tcPr>
            <w:tcW w:w="1898" w:type="dxa"/>
            <w:vAlign w:val="center"/>
          </w:tcPr>
          <w:p>
            <w:pPr>
              <w:jc w:val="center"/>
            </w:pPr>
            <w:r>
              <w:rPr>
                <w:rFonts w:hint="eastAsia" w:ascii="仿宋_GB2312" w:hAnsi="仿宋_GB2312" w:eastAsia="仿宋_GB2312" w:cs="仿宋_GB2312"/>
                <w:color w:val="000000" w:themeColor="text1"/>
                <w:szCs w:val="21"/>
              </w:rPr>
              <w:t>美术</w:t>
            </w:r>
          </w:p>
        </w:tc>
        <w:tc>
          <w:tcPr>
            <w:tcW w:w="4982" w:type="dxa"/>
          </w:tcPr>
          <w:p>
            <w:pPr>
              <w:spacing w:line="340" w:lineRule="exact"/>
              <w:jc w:val="lef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掌握图案、色彩、平面设计知识；能用基本绘画技能及简笔画法，临摹、创作幼儿园活动需要的美术作品和教学简笔画；能偶初步指导幼儿绘画的创作</w:t>
            </w:r>
          </w:p>
        </w:tc>
        <w:tc>
          <w:tcPr>
            <w:tcW w:w="1005" w:type="dxa"/>
            <w:vAlign w:val="center"/>
          </w:tcPr>
          <w:p>
            <w:pPr>
              <w:widowControl/>
              <w:spacing w:line="320" w:lineRule="exact"/>
              <w:jc w:val="center"/>
              <w:rPr>
                <w:rFonts w:ascii="仿宋_GB2312" w:hAnsi="仿宋_GB2312" w:eastAsia="仿宋_GB2312" w:cs="仿宋_GB2312"/>
                <w:color w:val="000000" w:themeColor="text1"/>
                <w:szCs w:val="21"/>
              </w:rPr>
            </w:pPr>
            <w:r>
              <w:rPr>
                <w:rFonts w:ascii="仿宋_GB2312" w:hAnsi="仿宋_GB2312" w:eastAsia="仿宋_GB2312" w:cs="仿宋_GB2312"/>
                <w:color w:val="000000" w:themeColor="text1"/>
                <w:szCs w:val="21"/>
              </w:rPr>
              <w:t>192</w:t>
            </w:r>
          </w:p>
        </w:tc>
      </w:tr>
    </w:tbl>
    <w:p>
      <w:pPr>
        <w:pStyle w:val="3"/>
        <w:numPr>
          <w:ilvl w:val="0"/>
          <w:numId w:val="0"/>
        </w:numPr>
        <w:spacing w:before="156" w:after="156"/>
        <w:ind w:leftChars="0"/>
        <w:jc w:val="left"/>
        <w:rPr>
          <w:rFonts w:hint="eastAsia" w:ascii="楷体_GB2312" w:eastAsia="楷体_GB2312" w:hAnsiTheme="minorHAnsi" w:cstheme="minorBidi"/>
          <w:bCs w:val="0"/>
          <w:kern w:val="2"/>
          <w:sz w:val="32"/>
          <w:szCs w:val="32"/>
          <w:lang w:val="en-US" w:eastAsia="zh-CN" w:bidi="ar-SA"/>
        </w:rPr>
      </w:pPr>
      <w:r>
        <w:rPr>
          <w:rFonts w:hint="eastAsia" w:ascii="楷体_GB2312" w:eastAsia="楷体_GB2312" w:hAnsiTheme="minorHAnsi" w:cstheme="minorBidi"/>
          <w:bCs w:val="0"/>
          <w:kern w:val="2"/>
          <w:sz w:val="32"/>
          <w:szCs w:val="32"/>
          <w:lang w:val="en-US" w:eastAsia="zh-CN" w:bidi="ar-SA"/>
        </w:rPr>
        <w:t>（三）教师教育课程</w:t>
      </w:r>
    </w:p>
    <w:p>
      <w:pPr>
        <w:spacing w:line="560" w:lineRule="exact"/>
        <w:jc w:val="center"/>
        <w:rPr>
          <w:rFonts w:ascii="仿宋_GB2312" w:hAnsi="Times New Roman" w:eastAsia="仿宋_GB2312" w:cs="仿宋_GB2312"/>
          <w:bCs/>
          <w:snapToGrid w:val="0"/>
          <w:color w:val="000000" w:themeColor="text1"/>
          <w:sz w:val="32"/>
          <w:szCs w:val="32"/>
        </w:rPr>
      </w:pPr>
      <w:r>
        <w:rPr>
          <w:rFonts w:hint="eastAsia" w:ascii="仿宋_GB2312" w:hAnsi="Times New Roman" w:eastAsia="仿宋_GB2312" w:cs="仿宋_GB2312"/>
          <w:bCs/>
          <w:snapToGrid w:val="0"/>
          <w:color w:val="000000" w:themeColor="text1"/>
          <w:sz w:val="32"/>
          <w:szCs w:val="32"/>
        </w:rPr>
        <w:t>小学教育专业教师教育课程主要教学内容和要求</w:t>
      </w:r>
    </w:p>
    <w:tbl>
      <w:tblPr>
        <w:tblStyle w:val="12"/>
        <w:tblW w:w="875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898"/>
        <w:gridCol w:w="4982"/>
        <w:gridCol w:w="10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7" w:type="dxa"/>
            <w:vAlign w:val="center"/>
          </w:tcPr>
          <w:p>
            <w:pPr>
              <w:spacing w:line="480" w:lineRule="exact"/>
              <w:jc w:val="center"/>
              <w:rPr>
                <w:rFonts w:ascii="仿宋_GB2312" w:hAnsi="仿宋_GB2312" w:eastAsia="仿宋_GB2312" w:cs="Times New Roman"/>
                <w:b/>
                <w:bCs/>
                <w:color w:val="000000" w:themeColor="text1"/>
                <w:sz w:val="24"/>
                <w:szCs w:val="24"/>
              </w:rPr>
            </w:pPr>
            <w:r>
              <w:rPr>
                <w:rFonts w:hint="eastAsia" w:ascii="仿宋_GB2312" w:hAnsi="仿宋_GB2312" w:eastAsia="仿宋_GB2312" w:cs="仿宋_GB2312"/>
                <w:b/>
                <w:bCs/>
                <w:color w:val="000000" w:themeColor="text1"/>
                <w:sz w:val="24"/>
                <w:szCs w:val="24"/>
              </w:rPr>
              <w:t>序号</w:t>
            </w:r>
          </w:p>
        </w:tc>
        <w:tc>
          <w:tcPr>
            <w:tcW w:w="1898" w:type="dxa"/>
            <w:vAlign w:val="center"/>
          </w:tcPr>
          <w:p>
            <w:pPr>
              <w:spacing w:line="480" w:lineRule="exact"/>
              <w:jc w:val="center"/>
              <w:rPr>
                <w:rFonts w:ascii="仿宋_GB2312" w:hAnsi="仿宋_GB2312" w:eastAsia="仿宋_GB2312" w:cs="Times New Roman"/>
                <w:b/>
                <w:bCs/>
                <w:color w:val="000000" w:themeColor="text1"/>
                <w:sz w:val="24"/>
                <w:szCs w:val="24"/>
              </w:rPr>
            </w:pPr>
            <w:r>
              <w:rPr>
                <w:rFonts w:hint="eastAsia" w:ascii="仿宋_GB2312" w:hAnsi="仿宋_GB2312" w:eastAsia="仿宋_GB2312" w:cs="仿宋_GB2312"/>
                <w:b/>
                <w:bCs/>
                <w:color w:val="000000" w:themeColor="text1"/>
                <w:sz w:val="24"/>
                <w:szCs w:val="24"/>
              </w:rPr>
              <w:t>课程名称</w:t>
            </w:r>
          </w:p>
        </w:tc>
        <w:tc>
          <w:tcPr>
            <w:tcW w:w="4982" w:type="dxa"/>
            <w:vAlign w:val="center"/>
          </w:tcPr>
          <w:p>
            <w:pPr>
              <w:spacing w:line="480" w:lineRule="exact"/>
              <w:jc w:val="center"/>
              <w:rPr>
                <w:rFonts w:ascii="仿宋_GB2312" w:hAnsi="仿宋_GB2312" w:eastAsia="仿宋_GB2312" w:cs="Times New Roman"/>
                <w:b/>
                <w:bCs/>
                <w:color w:val="000000" w:themeColor="text1"/>
                <w:sz w:val="24"/>
                <w:szCs w:val="24"/>
              </w:rPr>
            </w:pPr>
            <w:r>
              <w:rPr>
                <w:rFonts w:hint="eastAsia" w:ascii="仿宋_GB2312" w:hAnsi="仿宋_GB2312" w:eastAsia="仿宋_GB2312" w:cs="仿宋_GB2312"/>
                <w:b/>
                <w:bCs/>
                <w:color w:val="000000" w:themeColor="text1"/>
                <w:sz w:val="24"/>
                <w:szCs w:val="24"/>
              </w:rPr>
              <w:t>主要教学内容和要求</w:t>
            </w:r>
          </w:p>
        </w:tc>
        <w:tc>
          <w:tcPr>
            <w:tcW w:w="1005" w:type="dxa"/>
            <w:vAlign w:val="center"/>
          </w:tcPr>
          <w:p>
            <w:pPr>
              <w:spacing w:line="480" w:lineRule="exact"/>
              <w:jc w:val="center"/>
              <w:rPr>
                <w:rFonts w:ascii="仿宋_GB2312" w:hAnsi="仿宋_GB2312" w:eastAsia="仿宋_GB2312" w:cs="Times New Roman"/>
                <w:b/>
                <w:bCs/>
                <w:color w:val="000000" w:themeColor="text1"/>
                <w:sz w:val="24"/>
                <w:szCs w:val="24"/>
              </w:rPr>
            </w:pPr>
            <w:r>
              <w:rPr>
                <w:rFonts w:hint="eastAsia" w:ascii="仿宋_GB2312" w:hAnsi="仿宋_GB2312" w:eastAsia="仿宋_GB2312" w:cs="仿宋_GB2312"/>
                <w:b/>
                <w:bCs/>
                <w:color w:val="000000" w:themeColor="text1"/>
                <w:sz w:val="24"/>
                <w:szCs w:val="24"/>
              </w:rPr>
              <w:t>学时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67" w:type="dxa"/>
            <w:vAlign w:val="center"/>
          </w:tcPr>
          <w:p>
            <w:pPr>
              <w:spacing w:line="56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p>
        </w:tc>
        <w:tc>
          <w:tcPr>
            <w:tcW w:w="1898" w:type="dxa"/>
            <w:vAlign w:val="center"/>
          </w:tcPr>
          <w:p>
            <w:pPr>
              <w:jc w:val="center"/>
            </w:pPr>
            <w:r>
              <w:rPr>
                <w:rFonts w:hint="eastAsia" w:ascii="仿宋_GB2312" w:hAnsi="仿宋_GB2312" w:eastAsia="仿宋_GB2312" w:cs="仿宋_GB2312"/>
                <w:color w:val="000000" w:themeColor="text1"/>
                <w:szCs w:val="21"/>
              </w:rPr>
              <w:t>基础心理学</w:t>
            </w:r>
          </w:p>
        </w:tc>
        <w:tc>
          <w:tcPr>
            <w:tcW w:w="4982" w:type="dxa"/>
            <w:vAlign w:val="center"/>
          </w:tcPr>
          <w:p>
            <w:pPr>
              <w:spacing w:line="340" w:lineRule="exact"/>
              <w:jc w:val="left"/>
              <w:rPr>
                <w:rFonts w:ascii="宋体" w:hAnsi="宋体" w:eastAsia="宋体" w:cs="宋体"/>
                <w:kern w:val="0"/>
                <w:sz w:val="24"/>
                <w:szCs w:val="24"/>
              </w:rPr>
            </w:pPr>
            <w:r>
              <w:rPr>
                <w:rFonts w:hint="eastAsia" w:ascii="仿宋_GB2312" w:hAnsi="仿宋_GB2312" w:eastAsia="仿宋_GB2312" w:cs="仿宋_GB2312"/>
                <w:color w:val="000000" w:themeColor="text1"/>
                <w:szCs w:val="21"/>
              </w:rPr>
              <w:t>掌握学生身心发展规律，特点、品质、能结合生活中的实例加以分析说明。学会使用心理学常用的方法进行研究。会运用心理学基本原理分析解决教育工作中实际存在的问题。</w:t>
            </w:r>
          </w:p>
        </w:tc>
        <w:tc>
          <w:tcPr>
            <w:tcW w:w="1005" w:type="dxa"/>
            <w:vAlign w:val="center"/>
          </w:tcPr>
          <w:p>
            <w:pPr>
              <w:widowControl/>
              <w:spacing w:line="320" w:lineRule="exact"/>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64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67" w:type="dxa"/>
            <w:vAlign w:val="center"/>
          </w:tcPr>
          <w:p>
            <w:pPr>
              <w:spacing w:line="56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p>
        </w:tc>
        <w:tc>
          <w:tcPr>
            <w:tcW w:w="1898" w:type="dxa"/>
            <w:vAlign w:val="center"/>
          </w:tcPr>
          <w:p>
            <w:pPr>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教育学</w:t>
            </w:r>
          </w:p>
        </w:tc>
        <w:tc>
          <w:tcPr>
            <w:tcW w:w="4982" w:type="dxa"/>
            <w:vAlign w:val="center"/>
          </w:tcPr>
          <w:p>
            <w:pPr>
              <w:spacing w:line="340" w:lineRule="exact"/>
              <w:jc w:val="lef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能够选择和运用合适的教学组织形式、指导方式和教学方法。正确认识和分析各种教育现象和教育问题。。</w:t>
            </w:r>
          </w:p>
          <w:p>
            <w:pPr>
              <w:spacing w:line="340" w:lineRule="exact"/>
              <w:jc w:val="lef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运用科学的评价指标对儿童的发展水平、教师自身的各项工作做出恰当评价。</w:t>
            </w:r>
          </w:p>
        </w:tc>
        <w:tc>
          <w:tcPr>
            <w:tcW w:w="1005" w:type="dxa"/>
            <w:vAlign w:val="center"/>
          </w:tcPr>
          <w:p>
            <w:pPr>
              <w:widowControl/>
              <w:spacing w:line="320" w:lineRule="exact"/>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64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67" w:type="dxa"/>
            <w:vAlign w:val="center"/>
          </w:tcPr>
          <w:p>
            <w:pPr>
              <w:spacing w:line="56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p>
        </w:tc>
        <w:tc>
          <w:tcPr>
            <w:tcW w:w="1898" w:type="dxa"/>
            <w:vAlign w:val="center"/>
          </w:tcPr>
          <w:p>
            <w:pPr>
              <w:jc w:val="center"/>
            </w:pPr>
            <w:r>
              <w:rPr>
                <w:rFonts w:hint="eastAsia" w:ascii="仿宋_GB2312" w:hAnsi="仿宋_GB2312" w:eastAsia="仿宋_GB2312" w:cs="仿宋_GB2312"/>
                <w:color w:val="000000" w:themeColor="text1"/>
                <w:szCs w:val="21"/>
              </w:rPr>
              <w:t>心理健康教育</w:t>
            </w:r>
          </w:p>
        </w:tc>
        <w:tc>
          <w:tcPr>
            <w:tcW w:w="4982" w:type="dxa"/>
            <w:vAlign w:val="center"/>
          </w:tcPr>
          <w:p>
            <w:pPr>
              <w:spacing w:line="340" w:lineRule="exact"/>
              <w:jc w:val="lef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树立心理健康意识，掌握心理调适和职业生涯规划的方法，正确处理生活、学习、成长和求职就业中遇到的问题，养成自立自强、敬业乐群的心理品质和自尊自信、理性平和、积极向上的良好心态。</w:t>
            </w:r>
          </w:p>
        </w:tc>
        <w:tc>
          <w:tcPr>
            <w:tcW w:w="1005" w:type="dxa"/>
            <w:vAlign w:val="center"/>
          </w:tcPr>
          <w:p>
            <w:pPr>
              <w:widowControl/>
              <w:spacing w:line="320" w:lineRule="exact"/>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64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867" w:type="dxa"/>
            <w:vAlign w:val="center"/>
          </w:tcPr>
          <w:p>
            <w:pPr>
              <w:spacing w:line="360" w:lineRule="auto"/>
              <w:jc w:val="center"/>
              <w:rPr>
                <w:rFonts w:ascii="宋体" w:hAnsi="宋体" w:cs="宋体"/>
                <w:color w:val="000000" w:themeColor="text1"/>
                <w:sz w:val="22"/>
              </w:rPr>
            </w:pPr>
            <w:r>
              <w:rPr>
                <w:rFonts w:ascii="宋体" w:hAnsi="宋体" w:cs="宋体"/>
                <w:color w:val="000000" w:themeColor="text1"/>
                <w:sz w:val="22"/>
              </w:rPr>
              <w:t>4</w:t>
            </w:r>
          </w:p>
        </w:tc>
        <w:tc>
          <w:tcPr>
            <w:tcW w:w="1898" w:type="dxa"/>
            <w:vAlign w:val="center"/>
          </w:tcPr>
          <w:p>
            <w:pPr>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班级管理</w:t>
            </w:r>
          </w:p>
        </w:tc>
        <w:tc>
          <w:tcPr>
            <w:tcW w:w="4982" w:type="dxa"/>
          </w:tcPr>
          <w:p>
            <w:pPr>
              <w:spacing w:line="340" w:lineRule="exact"/>
              <w:jc w:val="lef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能够</w:t>
            </w:r>
            <w:r>
              <w:rPr>
                <w:rFonts w:ascii="仿宋_GB2312" w:hAnsi="仿宋_GB2312" w:eastAsia="仿宋_GB2312" w:cs="仿宋_GB2312"/>
                <w:color w:val="000000" w:themeColor="text1"/>
                <w:szCs w:val="21"/>
              </w:rPr>
              <w:t>运用各种教学技术手段来精心设计各种不同的教学活动，组织、安排、协调各种不同类型学生的学习活动</w:t>
            </w:r>
          </w:p>
        </w:tc>
        <w:tc>
          <w:tcPr>
            <w:tcW w:w="1005" w:type="dxa"/>
            <w:vAlign w:val="center"/>
          </w:tcPr>
          <w:p>
            <w:pPr>
              <w:widowControl/>
              <w:spacing w:line="320" w:lineRule="exact"/>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64</w:t>
            </w:r>
          </w:p>
        </w:tc>
      </w:tr>
    </w:tbl>
    <w:p/>
    <w:p>
      <w:pPr>
        <w:spacing w:line="400" w:lineRule="exact"/>
        <w:jc w:val="left"/>
        <w:rPr>
          <w:rFonts w:ascii="黑体" w:hAnsi="Courier New" w:eastAsia="黑体"/>
          <w:bCs/>
          <w:sz w:val="32"/>
          <w:szCs w:val="32"/>
        </w:rPr>
      </w:pPr>
    </w:p>
    <w:p>
      <w:pPr>
        <w:spacing w:line="400" w:lineRule="exact"/>
        <w:jc w:val="left"/>
        <w:rPr>
          <w:rFonts w:ascii="黑体" w:hAnsi="Courier New" w:eastAsia="黑体"/>
          <w:bCs/>
          <w:sz w:val="32"/>
          <w:szCs w:val="32"/>
        </w:rPr>
      </w:pPr>
      <w:r>
        <w:rPr>
          <w:rFonts w:hint="eastAsia" w:ascii="黑体" w:hAnsi="Courier New" w:eastAsia="黑体"/>
          <w:bCs/>
          <w:sz w:val="32"/>
          <w:szCs w:val="32"/>
        </w:rPr>
        <w:t>八</w:t>
      </w:r>
      <w:r>
        <w:rPr>
          <w:rFonts w:ascii="黑体" w:hAnsi="Courier New" w:eastAsia="黑体"/>
          <w:bCs/>
          <w:sz w:val="32"/>
          <w:szCs w:val="32"/>
        </w:rPr>
        <w:t>、教学进程总体安排</w:t>
      </w:r>
    </w:p>
    <w:p>
      <w:pPr>
        <w:pStyle w:val="3"/>
        <w:spacing w:before="156" w:after="156"/>
        <w:ind w:firstLine="640" w:firstLineChars="200"/>
        <w:jc w:val="left"/>
        <w:rPr>
          <w:rFonts w:ascii="黑体" w:hAnsi="黑体" w:eastAsia="黑体"/>
          <w:sz w:val="28"/>
          <w:szCs w:val="28"/>
        </w:rPr>
      </w:pPr>
      <w:r>
        <w:rPr>
          <w:rFonts w:hint="eastAsia" w:ascii="楷体_GB2312" w:eastAsia="楷体_GB2312" w:hAnsiTheme="minorHAnsi" w:cstheme="minorBidi"/>
          <w:bCs w:val="0"/>
          <w:kern w:val="2"/>
          <w:sz w:val="32"/>
          <w:szCs w:val="32"/>
          <w:lang w:val="en-US" w:eastAsia="zh-CN" w:bidi="ar-SA"/>
        </w:rPr>
        <w:t>（一）必修课程计划表</w:t>
      </w:r>
    </w:p>
    <w:tbl>
      <w:tblPr>
        <w:tblStyle w:val="12"/>
        <w:tblW w:w="4950" w:type="pct"/>
        <w:jc w:val="center"/>
        <w:tblLayout w:type="autofit"/>
        <w:tblCellMar>
          <w:top w:w="0" w:type="dxa"/>
          <w:left w:w="0" w:type="dxa"/>
          <w:bottom w:w="0" w:type="dxa"/>
          <w:right w:w="0" w:type="dxa"/>
        </w:tblCellMar>
      </w:tblPr>
      <w:tblGrid>
        <w:gridCol w:w="449"/>
        <w:gridCol w:w="573"/>
        <w:gridCol w:w="2076"/>
        <w:gridCol w:w="684"/>
        <w:gridCol w:w="567"/>
        <w:gridCol w:w="450"/>
        <w:gridCol w:w="450"/>
        <w:gridCol w:w="450"/>
        <w:gridCol w:w="450"/>
        <w:gridCol w:w="450"/>
        <w:gridCol w:w="450"/>
        <w:gridCol w:w="450"/>
        <w:gridCol w:w="450"/>
        <w:gridCol w:w="488"/>
      </w:tblGrid>
      <w:tr>
        <w:tblPrEx>
          <w:tblCellMar>
            <w:top w:w="0" w:type="dxa"/>
            <w:left w:w="0" w:type="dxa"/>
            <w:bottom w:w="0" w:type="dxa"/>
            <w:right w:w="0" w:type="dxa"/>
          </w:tblCellMar>
        </w:tblPrEx>
        <w:trPr>
          <w:trHeight w:val="638" w:hRule="atLeast"/>
          <w:jc w:val="center"/>
        </w:trPr>
        <w:tc>
          <w:tcPr>
            <w:tcW w:w="463" w:type="dxa"/>
            <w:vMerge w:val="restart"/>
            <w:tcBorders>
              <w:top w:val="single" w:color="auto" w:sz="12" w:space="0"/>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课程</w:t>
            </w:r>
          </w:p>
          <w:p>
            <w:r>
              <w:rPr>
                <w:rFonts w:hint="eastAsia"/>
              </w:rPr>
              <w:t>类别</w:t>
            </w:r>
          </w:p>
        </w:tc>
        <w:tc>
          <w:tcPr>
            <w:tcW w:w="661" w:type="dxa"/>
            <w:vMerge w:val="restart"/>
            <w:tcBorders>
              <w:top w:val="single" w:color="auto" w:sz="12"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课程编号</w:t>
            </w:r>
          </w:p>
        </w:tc>
        <w:tc>
          <w:tcPr>
            <w:tcW w:w="2076" w:type="dxa"/>
            <w:vMerge w:val="restart"/>
            <w:tcBorders>
              <w:top w:val="single" w:color="auto" w:sz="12"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r>
              <w:rPr>
                <w:rFonts w:hint="eastAsia"/>
              </w:rPr>
              <w:t>课程名称</w:t>
            </w:r>
          </w:p>
        </w:tc>
        <w:tc>
          <w:tcPr>
            <w:tcW w:w="659" w:type="dxa"/>
            <w:vMerge w:val="restart"/>
            <w:tcBorders>
              <w:top w:val="single" w:color="auto" w:sz="12" w:space="0"/>
              <w:left w:val="single" w:color="FFFFFF" w:sz="24" w:space="0"/>
              <w:bottom w:val="nil"/>
              <w:right w:val="nil"/>
            </w:tcBorders>
            <w:shd w:val="clear" w:color="auto" w:fill="auto"/>
            <w:tcMar>
              <w:top w:w="0" w:type="dxa"/>
              <w:left w:w="108" w:type="dxa"/>
              <w:bottom w:w="0" w:type="dxa"/>
              <w:right w:w="108" w:type="dxa"/>
            </w:tcMar>
            <w:vAlign w:val="center"/>
          </w:tcPr>
          <w:p>
            <w:r>
              <w:rPr>
                <w:rFonts w:hint="eastAsia"/>
              </w:rPr>
              <w:t>总学时</w:t>
            </w:r>
          </w:p>
        </w:tc>
        <w:tc>
          <w:tcPr>
            <w:tcW w:w="548" w:type="dxa"/>
            <w:vMerge w:val="restart"/>
            <w:tcBorders>
              <w:top w:val="single" w:color="auto" w:sz="12" w:space="0"/>
              <w:left w:val="single" w:color="FFFFFF" w:sz="24" w:space="0"/>
              <w:bottom w:val="nil"/>
              <w:right w:val="nil"/>
            </w:tcBorders>
            <w:shd w:val="clear" w:color="auto" w:fill="auto"/>
            <w:tcMar>
              <w:top w:w="0" w:type="dxa"/>
              <w:left w:w="108" w:type="dxa"/>
              <w:bottom w:w="0" w:type="dxa"/>
              <w:right w:w="108" w:type="dxa"/>
            </w:tcMar>
            <w:vAlign w:val="center"/>
          </w:tcPr>
          <w:p>
            <w:r>
              <w:rPr>
                <w:rFonts w:hint="eastAsia"/>
              </w:rPr>
              <w:t>学分数</w:t>
            </w:r>
          </w:p>
        </w:tc>
        <w:tc>
          <w:tcPr>
            <w:tcW w:w="3504" w:type="dxa"/>
            <w:gridSpan w:val="8"/>
            <w:tcBorders>
              <w:top w:val="single" w:color="auto" w:sz="12"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按学期周课时分配</w:t>
            </w:r>
          </w:p>
        </w:tc>
        <w:tc>
          <w:tcPr>
            <w:tcW w:w="526" w:type="dxa"/>
            <w:vMerge w:val="restart"/>
            <w:tcBorders>
              <w:top w:val="single" w:color="auto" w:sz="12" w:space="0"/>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备注</w:t>
            </w:r>
          </w:p>
        </w:tc>
      </w:tr>
      <w:tr>
        <w:tblPrEx>
          <w:tblCellMar>
            <w:top w:w="0" w:type="dxa"/>
            <w:left w:w="0" w:type="dxa"/>
            <w:bottom w:w="0" w:type="dxa"/>
            <w:right w:w="0" w:type="dxa"/>
          </w:tblCellMar>
        </w:tblPrEx>
        <w:trPr>
          <w:trHeight w:val="468" w:hRule="atLeast"/>
          <w:jc w:val="center"/>
        </w:trPr>
        <w:tc>
          <w:tcPr>
            <w:tcW w:w="0" w:type="auto"/>
            <w:vMerge w:val="continue"/>
            <w:tcBorders>
              <w:top w:val="single" w:color="auto" w:sz="12" w:space="0"/>
              <w:left w:val="single" w:color="auto" w:sz="12" w:space="0"/>
              <w:bottom w:val="single" w:color="auto" w:sz="8" w:space="0"/>
              <w:right w:val="single" w:color="auto" w:sz="8" w:space="0"/>
            </w:tcBorders>
            <w:vAlign w:val="center"/>
          </w:tcPr>
          <w:p/>
        </w:tc>
        <w:tc>
          <w:tcPr>
            <w:tcW w:w="0" w:type="auto"/>
            <w:vMerge w:val="continue"/>
            <w:tcBorders>
              <w:top w:val="single" w:color="auto" w:sz="12" w:space="0"/>
              <w:left w:val="nil"/>
              <w:bottom w:val="single" w:color="auto" w:sz="8" w:space="0"/>
              <w:right w:val="single" w:color="auto" w:sz="8" w:space="0"/>
            </w:tcBorders>
            <w:vAlign w:val="center"/>
          </w:tcPr>
          <w:p/>
        </w:tc>
        <w:tc>
          <w:tcPr>
            <w:tcW w:w="0" w:type="auto"/>
            <w:vMerge w:val="continue"/>
            <w:tcBorders>
              <w:top w:val="single" w:color="auto" w:sz="12" w:space="0"/>
              <w:left w:val="nil"/>
              <w:bottom w:val="single" w:color="auto" w:sz="8" w:space="0"/>
              <w:right w:val="single" w:color="auto" w:sz="8" w:space="0"/>
            </w:tcBorders>
            <w:vAlign w:val="center"/>
          </w:tcPr>
          <w:p/>
        </w:tc>
        <w:tc>
          <w:tcPr>
            <w:tcW w:w="0" w:type="auto"/>
            <w:vMerge w:val="continue"/>
            <w:tcBorders>
              <w:top w:val="single" w:color="auto" w:sz="12" w:space="0"/>
              <w:left w:val="single" w:color="FFFFFF" w:sz="24" w:space="0"/>
              <w:bottom w:val="nil"/>
              <w:right w:val="nil"/>
            </w:tcBorders>
            <w:vAlign w:val="center"/>
          </w:tcPr>
          <w:p/>
        </w:tc>
        <w:tc>
          <w:tcPr>
            <w:tcW w:w="0" w:type="auto"/>
            <w:vMerge w:val="continue"/>
            <w:tcBorders>
              <w:top w:val="single" w:color="auto" w:sz="12" w:space="0"/>
              <w:left w:val="single" w:color="FFFFFF" w:sz="24" w:space="0"/>
              <w:bottom w:val="nil"/>
              <w:right w:val="nil"/>
            </w:tcBorders>
            <w:vAlign w:val="center"/>
          </w:tcP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1</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4</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5</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6</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7</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8</w:t>
            </w:r>
          </w:p>
        </w:tc>
        <w:tc>
          <w:tcPr>
            <w:tcW w:w="0" w:type="auto"/>
            <w:vMerge w:val="continue"/>
            <w:tcBorders>
              <w:top w:val="single" w:color="auto" w:sz="12" w:space="0"/>
              <w:left w:val="nil"/>
              <w:bottom w:val="single" w:color="auto" w:sz="8" w:space="0"/>
              <w:right w:val="single" w:color="auto" w:sz="12" w:space="0"/>
            </w:tcBorders>
            <w:vAlign w:val="center"/>
          </w:tcPr>
          <w:p/>
        </w:tc>
      </w:tr>
      <w:tr>
        <w:tblPrEx>
          <w:tblCellMar>
            <w:top w:w="0" w:type="dxa"/>
            <w:left w:w="0" w:type="dxa"/>
            <w:bottom w:w="0" w:type="dxa"/>
            <w:right w:w="0" w:type="dxa"/>
          </w:tblCellMar>
        </w:tblPrEx>
        <w:trPr>
          <w:trHeight w:val="450" w:hRule="atLeast"/>
          <w:jc w:val="center"/>
        </w:trPr>
        <w:tc>
          <w:tcPr>
            <w:tcW w:w="463" w:type="dxa"/>
            <w:vMerge w:val="restart"/>
            <w:tcBorders>
              <w:top w:val="single" w:color="FFFFFF" w:sz="24" w:space="0"/>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公共基础课程</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
              <w:rPr>
                <w:rFonts w:hint="eastAsia"/>
              </w:rPr>
              <w:t> </w:t>
            </w: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思想政治</w:t>
            </w:r>
          </w:p>
        </w:tc>
        <w:tc>
          <w:tcPr>
            <w:tcW w:w="6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256</w:t>
            </w:r>
          </w:p>
        </w:tc>
        <w:tc>
          <w:tcPr>
            <w:tcW w:w="5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16</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526"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50" w:hRule="atLeast"/>
          <w:jc w:val="center"/>
        </w:trPr>
        <w:tc>
          <w:tcPr>
            <w:tcW w:w="463" w:type="dxa"/>
            <w:vMerge w:val="continue"/>
            <w:tcBorders>
              <w:top w:val="single" w:color="FFFFFF" w:sz="24" w:space="0"/>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文学</w:t>
            </w:r>
          </w:p>
        </w:tc>
        <w:tc>
          <w:tcPr>
            <w:tcW w:w="6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384</w:t>
            </w:r>
          </w:p>
        </w:tc>
        <w:tc>
          <w:tcPr>
            <w:tcW w:w="5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24</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4</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4</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4</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4</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526"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tc>
      </w:tr>
      <w:tr>
        <w:tblPrEx>
          <w:tblCellMar>
            <w:top w:w="0" w:type="dxa"/>
            <w:left w:w="0" w:type="dxa"/>
            <w:bottom w:w="0" w:type="dxa"/>
            <w:right w:w="0" w:type="dxa"/>
          </w:tblCellMar>
        </w:tblPrEx>
        <w:trPr>
          <w:trHeight w:val="450" w:hRule="atLeast"/>
          <w:jc w:val="center"/>
        </w:trPr>
        <w:tc>
          <w:tcPr>
            <w:tcW w:w="463" w:type="dxa"/>
            <w:vMerge w:val="continue"/>
            <w:tcBorders>
              <w:top w:val="single" w:color="FFFFFF" w:sz="24" w:space="0"/>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数学</w:t>
            </w:r>
          </w:p>
        </w:tc>
        <w:tc>
          <w:tcPr>
            <w:tcW w:w="6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320</w:t>
            </w:r>
          </w:p>
        </w:tc>
        <w:tc>
          <w:tcPr>
            <w:tcW w:w="5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20</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3</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3</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3</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3</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526"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50" w:hRule="atLeast"/>
          <w:jc w:val="center"/>
        </w:trPr>
        <w:tc>
          <w:tcPr>
            <w:tcW w:w="0" w:type="auto"/>
            <w:vMerge w:val="continue"/>
            <w:tcBorders>
              <w:top w:val="single" w:color="FFFFFF" w:sz="24" w:space="0"/>
              <w:left w:val="single" w:color="auto" w:sz="12" w:space="0"/>
              <w:bottom w:val="single" w:color="auto" w:sz="8" w:space="0"/>
              <w:right w:val="single" w:color="auto" w:sz="8" w:space="0"/>
            </w:tcBorders>
            <w:vAlign w:val="center"/>
          </w:tcP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
              <w:rPr>
                <w:rFonts w:hint="eastAsia"/>
              </w:rPr>
              <w:t> </w:t>
            </w: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外语</w:t>
            </w:r>
          </w:p>
        </w:tc>
        <w:tc>
          <w:tcPr>
            <w:tcW w:w="6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512</w:t>
            </w:r>
          </w:p>
        </w:tc>
        <w:tc>
          <w:tcPr>
            <w:tcW w:w="5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32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4</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4</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4</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4</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4</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4</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4</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4</w:t>
            </w:r>
          </w:p>
        </w:tc>
        <w:tc>
          <w:tcPr>
            <w:tcW w:w="526"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50" w:hRule="atLeast"/>
          <w:jc w:val="center"/>
        </w:trPr>
        <w:tc>
          <w:tcPr>
            <w:tcW w:w="0" w:type="auto"/>
            <w:vMerge w:val="continue"/>
            <w:tcBorders>
              <w:top w:val="single" w:color="FFFFFF" w:sz="24" w:space="0"/>
              <w:left w:val="single" w:color="auto" w:sz="12" w:space="0"/>
              <w:bottom w:val="single" w:color="auto" w:sz="8" w:space="0"/>
              <w:right w:val="single" w:color="auto" w:sz="8" w:space="0"/>
            </w:tcBorders>
            <w:vAlign w:val="center"/>
          </w:tcP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
              <w:rPr>
                <w:rFonts w:hint="eastAsia"/>
              </w:rPr>
              <w:t> </w:t>
            </w: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计算机</w:t>
            </w:r>
          </w:p>
        </w:tc>
        <w:tc>
          <w:tcPr>
            <w:tcW w:w="6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128</w:t>
            </w:r>
          </w:p>
        </w:tc>
        <w:tc>
          <w:tcPr>
            <w:tcW w:w="5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8</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526"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50" w:hRule="atLeast"/>
          <w:jc w:val="center"/>
        </w:trPr>
        <w:tc>
          <w:tcPr>
            <w:tcW w:w="0" w:type="auto"/>
            <w:vMerge w:val="continue"/>
            <w:tcBorders>
              <w:top w:val="single" w:color="FFFFFF" w:sz="24" w:space="0"/>
              <w:left w:val="single" w:color="auto" w:sz="12" w:space="0"/>
              <w:bottom w:val="single" w:color="auto" w:sz="8" w:space="0"/>
              <w:right w:val="single" w:color="auto" w:sz="8" w:space="0"/>
            </w:tcBorders>
            <w:vAlign w:val="center"/>
          </w:tcP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
              <w:rPr>
                <w:rFonts w:hint="eastAsia"/>
              </w:rPr>
              <w:t> </w:t>
            </w: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体育</w:t>
            </w:r>
          </w:p>
        </w:tc>
        <w:tc>
          <w:tcPr>
            <w:tcW w:w="6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64</w:t>
            </w:r>
          </w:p>
        </w:tc>
        <w:tc>
          <w:tcPr>
            <w:tcW w:w="5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4</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1</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1</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1</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1</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526"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50" w:hRule="atLeast"/>
          <w:jc w:val="center"/>
        </w:trPr>
        <w:tc>
          <w:tcPr>
            <w:tcW w:w="463" w:type="dxa"/>
            <w:vMerge w:val="restart"/>
            <w:tcBorders>
              <w:top w:val="nil"/>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专业教育课程</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
              <w:rPr>
                <w:rFonts w:hint="eastAsia"/>
              </w:rPr>
              <w:t> </w:t>
            </w: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普通话</w:t>
            </w:r>
          </w:p>
        </w:tc>
        <w:tc>
          <w:tcPr>
            <w:tcW w:w="6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96</w:t>
            </w:r>
          </w:p>
        </w:tc>
        <w:tc>
          <w:tcPr>
            <w:tcW w:w="5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6</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1</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1</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1</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1</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1</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1</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526"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tc>
      </w:tr>
      <w:tr>
        <w:tblPrEx>
          <w:tblCellMar>
            <w:top w:w="0" w:type="dxa"/>
            <w:left w:w="0" w:type="dxa"/>
            <w:bottom w:w="0" w:type="dxa"/>
            <w:right w:w="0" w:type="dxa"/>
          </w:tblCellMar>
        </w:tblPrEx>
        <w:trPr>
          <w:trHeight w:val="450"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
              <w:rPr>
                <w:rFonts w:hint="eastAsia"/>
              </w:rPr>
              <w:t> </w:t>
            </w: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书法</w:t>
            </w:r>
          </w:p>
        </w:tc>
        <w:tc>
          <w:tcPr>
            <w:tcW w:w="6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64</w:t>
            </w:r>
          </w:p>
        </w:tc>
        <w:tc>
          <w:tcPr>
            <w:tcW w:w="5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4</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1</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1</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1</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1</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526"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50"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历史</w:t>
            </w:r>
          </w:p>
        </w:tc>
        <w:tc>
          <w:tcPr>
            <w:tcW w:w="6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64</w:t>
            </w:r>
          </w:p>
        </w:tc>
        <w:tc>
          <w:tcPr>
            <w:tcW w:w="5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4</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526"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50"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
              <w:rPr>
                <w:rFonts w:hint="eastAsia"/>
              </w:rPr>
              <w:t> </w:t>
            </w: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地理</w:t>
            </w:r>
          </w:p>
        </w:tc>
        <w:tc>
          <w:tcPr>
            <w:tcW w:w="6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64</w:t>
            </w:r>
          </w:p>
        </w:tc>
        <w:tc>
          <w:tcPr>
            <w:tcW w:w="5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4</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526"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50"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
              <w:rPr>
                <w:rFonts w:hint="eastAsia"/>
              </w:rPr>
              <w:t> </w:t>
            </w: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化学</w:t>
            </w:r>
          </w:p>
        </w:tc>
        <w:tc>
          <w:tcPr>
            <w:tcW w:w="6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64</w:t>
            </w:r>
          </w:p>
        </w:tc>
        <w:tc>
          <w:tcPr>
            <w:tcW w:w="5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4</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526"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50"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
              <w:rPr>
                <w:rFonts w:hint="eastAsia"/>
              </w:rPr>
              <w:t> </w:t>
            </w: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物理</w:t>
            </w:r>
          </w:p>
        </w:tc>
        <w:tc>
          <w:tcPr>
            <w:tcW w:w="6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64</w:t>
            </w:r>
          </w:p>
        </w:tc>
        <w:tc>
          <w:tcPr>
            <w:tcW w:w="5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4</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526"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50"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
              <w:rPr>
                <w:rFonts w:hint="eastAsia"/>
              </w:rPr>
              <w:t> </w:t>
            </w: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生物</w:t>
            </w:r>
          </w:p>
        </w:tc>
        <w:tc>
          <w:tcPr>
            <w:tcW w:w="6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64</w:t>
            </w:r>
          </w:p>
        </w:tc>
        <w:tc>
          <w:tcPr>
            <w:tcW w:w="5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4</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526"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50"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
              <w:rPr>
                <w:rFonts w:hint="eastAsia"/>
              </w:rPr>
              <w:t> </w:t>
            </w: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音乐</w:t>
            </w:r>
          </w:p>
        </w:tc>
        <w:tc>
          <w:tcPr>
            <w:tcW w:w="6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192</w:t>
            </w:r>
          </w:p>
        </w:tc>
        <w:tc>
          <w:tcPr>
            <w:tcW w:w="5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12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526"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50"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
              <w:rPr>
                <w:rFonts w:hint="eastAsia"/>
              </w:rPr>
              <w:t> </w:t>
            </w: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美术</w:t>
            </w:r>
          </w:p>
        </w:tc>
        <w:tc>
          <w:tcPr>
            <w:tcW w:w="6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192</w:t>
            </w:r>
          </w:p>
        </w:tc>
        <w:tc>
          <w:tcPr>
            <w:tcW w:w="5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12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526"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50" w:hRule="atLeast"/>
          <w:jc w:val="center"/>
        </w:trPr>
        <w:tc>
          <w:tcPr>
            <w:tcW w:w="463" w:type="dxa"/>
            <w:vMerge w:val="restart"/>
            <w:tcBorders>
              <w:top w:val="nil"/>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教师教育课程</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
              <w:rPr>
                <w:rFonts w:hint="eastAsia"/>
              </w:rPr>
              <w:t> </w:t>
            </w: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基础心理学</w:t>
            </w:r>
          </w:p>
        </w:tc>
        <w:tc>
          <w:tcPr>
            <w:tcW w:w="6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64</w:t>
            </w:r>
          </w:p>
        </w:tc>
        <w:tc>
          <w:tcPr>
            <w:tcW w:w="5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4</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526"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50"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
              <w:rPr>
                <w:rFonts w:hint="eastAsia"/>
              </w:rPr>
              <w:t> </w:t>
            </w: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教育学</w:t>
            </w:r>
          </w:p>
        </w:tc>
        <w:tc>
          <w:tcPr>
            <w:tcW w:w="6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64</w:t>
            </w:r>
          </w:p>
        </w:tc>
        <w:tc>
          <w:tcPr>
            <w:tcW w:w="5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4</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526"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50"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
              <w:rPr>
                <w:rFonts w:hint="eastAsia"/>
              </w:rPr>
              <w:t> </w:t>
            </w: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教育心理学</w:t>
            </w:r>
          </w:p>
        </w:tc>
        <w:tc>
          <w:tcPr>
            <w:tcW w:w="6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64</w:t>
            </w:r>
          </w:p>
        </w:tc>
        <w:tc>
          <w:tcPr>
            <w:tcW w:w="5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4</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526"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50"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
              <w:rPr>
                <w:rFonts w:hint="eastAsia"/>
              </w:rPr>
              <w:t> </w:t>
            </w: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儿童发展心理学</w:t>
            </w:r>
          </w:p>
        </w:tc>
        <w:tc>
          <w:tcPr>
            <w:tcW w:w="6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64</w:t>
            </w:r>
          </w:p>
        </w:tc>
        <w:tc>
          <w:tcPr>
            <w:tcW w:w="5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4</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526"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50"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
              <w:rPr>
                <w:rFonts w:hint="eastAsia"/>
              </w:rPr>
              <w:t> </w:t>
            </w: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小学教育研究方法</w:t>
            </w:r>
          </w:p>
        </w:tc>
        <w:tc>
          <w:tcPr>
            <w:tcW w:w="6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64</w:t>
            </w:r>
          </w:p>
        </w:tc>
        <w:tc>
          <w:tcPr>
            <w:tcW w:w="5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4</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526"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50"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
              <w:rPr>
                <w:rFonts w:hint="eastAsia"/>
              </w:rPr>
              <w:t> </w:t>
            </w: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中外教育家教育思想</w:t>
            </w:r>
          </w:p>
        </w:tc>
        <w:tc>
          <w:tcPr>
            <w:tcW w:w="6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64</w:t>
            </w:r>
          </w:p>
        </w:tc>
        <w:tc>
          <w:tcPr>
            <w:tcW w:w="5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4</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526"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50"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
              <w:rPr>
                <w:rFonts w:hint="eastAsia"/>
              </w:rPr>
              <w:t> </w:t>
            </w: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心理健康教育</w:t>
            </w:r>
          </w:p>
        </w:tc>
        <w:tc>
          <w:tcPr>
            <w:tcW w:w="6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64</w:t>
            </w:r>
          </w:p>
        </w:tc>
        <w:tc>
          <w:tcPr>
            <w:tcW w:w="5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4</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526"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50"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
              <w:rPr>
                <w:rFonts w:hint="eastAsia"/>
              </w:rPr>
              <w:t> </w:t>
            </w: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课程与教法</w:t>
            </w:r>
          </w:p>
        </w:tc>
        <w:tc>
          <w:tcPr>
            <w:tcW w:w="6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64</w:t>
            </w:r>
          </w:p>
        </w:tc>
        <w:tc>
          <w:tcPr>
            <w:tcW w:w="5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4</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526"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50"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
              <w:rPr>
                <w:rFonts w:hint="eastAsia"/>
              </w:rPr>
              <w:t> </w:t>
            </w: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班级管理</w:t>
            </w:r>
          </w:p>
        </w:tc>
        <w:tc>
          <w:tcPr>
            <w:tcW w:w="6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64</w:t>
            </w:r>
          </w:p>
        </w:tc>
        <w:tc>
          <w:tcPr>
            <w:tcW w:w="5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4</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526"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50"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
              <w:rPr>
                <w:rFonts w:hint="eastAsia"/>
              </w:rPr>
              <w:t> </w:t>
            </w:r>
          </w:p>
        </w:tc>
        <w:tc>
          <w:tcPr>
            <w:tcW w:w="2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特级教师教育思想</w:t>
            </w:r>
          </w:p>
        </w:tc>
        <w:tc>
          <w:tcPr>
            <w:tcW w:w="6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64</w:t>
            </w:r>
          </w:p>
        </w:tc>
        <w:tc>
          <w:tcPr>
            <w:tcW w:w="5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4</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4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2</w:t>
            </w:r>
          </w:p>
        </w:tc>
        <w:tc>
          <w:tcPr>
            <w:tcW w:w="526"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50" w:hRule="atLeast"/>
          <w:jc w:val="center"/>
        </w:trPr>
        <w:tc>
          <w:tcPr>
            <w:tcW w:w="463" w:type="dxa"/>
            <w:tcBorders>
              <w:top w:val="nil"/>
              <w:left w:val="single" w:color="auto" w:sz="12" w:space="0"/>
              <w:bottom w:val="single" w:color="auto" w:sz="12" w:space="0"/>
              <w:right w:val="single" w:color="auto" w:sz="8" w:space="0"/>
            </w:tcBorders>
            <w:shd w:val="clear" w:color="auto" w:fill="auto"/>
            <w:tcMar>
              <w:top w:w="0" w:type="dxa"/>
              <w:left w:w="108" w:type="dxa"/>
              <w:bottom w:w="0" w:type="dxa"/>
              <w:right w:w="108" w:type="dxa"/>
            </w:tcMar>
            <w:vAlign w:val="center"/>
          </w:tcPr>
          <w:p>
            <w:r>
              <w:rPr>
                <w:rFonts w:hint="eastAsia"/>
              </w:rPr>
              <w:t>合计</w:t>
            </w:r>
          </w:p>
        </w:tc>
        <w:tc>
          <w:tcPr>
            <w:tcW w:w="661" w:type="dxa"/>
            <w:tcBorders>
              <w:top w:val="nil"/>
              <w:left w:val="nil"/>
              <w:bottom w:val="single" w:color="auto" w:sz="12" w:space="0"/>
              <w:right w:val="single" w:color="auto" w:sz="8" w:space="0"/>
            </w:tcBorders>
            <w:shd w:val="clear" w:color="auto" w:fill="auto"/>
            <w:tcMar>
              <w:top w:w="0" w:type="dxa"/>
              <w:left w:w="108" w:type="dxa"/>
              <w:bottom w:w="0" w:type="dxa"/>
              <w:right w:w="108" w:type="dxa"/>
            </w:tcMar>
          </w:tcPr>
          <w:p>
            <w:r>
              <w:rPr>
                <w:rFonts w:hint="eastAsia"/>
              </w:rPr>
              <w:t> </w:t>
            </w:r>
          </w:p>
        </w:tc>
        <w:tc>
          <w:tcPr>
            <w:tcW w:w="2076" w:type="dxa"/>
            <w:tcBorders>
              <w:top w:val="nil"/>
              <w:left w:val="nil"/>
              <w:bottom w:val="single" w:color="auto" w:sz="12"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659" w:type="dxa"/>
            <w:tcBorders>
              <w:top w:val="nil"/>
              <w:left w:val="nil"/>
              <w:bottom w:val="single" w:color="auto" w:sz="12" w:space="0"/>
              <w:right w:val="single" w:color="auto" w:sz="8" w:space="0"/>
            </w:tcBorders>
            <w:shd w:val="clear" w:color="auto" w:fill="auto"/>
            <w:tcMar>
              <w:top w:w="0" w:type="dxa"/>
              <w:left w:w="108" w:type="dxa"/>
              <w:bottom w:w="0" w:type="dxa"/>
              <w:right w:w="108" w:type="dxa"/>
            </w:tcMar>
            <w:vAlign w:val="center"/>
          </w:tcPr>
          <w:p>
            <w:r>
              <w:t>3168</w:t>
            </w:r>
          </w:p>
        </w:tc>
        <w:tc>
          <w:tcPr>
            <w:tcW w:w="548" w:type="dxa"/>
            <w:tcBorders>
              <w:top w:val="nil"/>
              <w:left w:val="nil"/>
              <w:bottom w:val="single" w:color="auto" w:sz="12" w:space="0"/>
              <w:right w:val="single" w:color="auto" w:sz="8" w:space="0"/>
            </w:tcBorders>
            <w:shd w:val="clear" w:color="auto" w:fill="auto"/>
            <w:tcMar>
              <w:top w:w="0" w:type="dxa"/>
              <w:left w:w="108" w:type="dxa"/>
              <w:bottom w:w="0" w:type="dxa"/>
              <w:right w:w="108" w:type="dxa"/>
            </w:tcMar>
            <w:vAlign w:val="center"/>
          </w:tcPr>
          <w:p>
            <w:r>
              <w:t>198</w:t>
            </w:r>
          </w:p>
        </w:tc>
        <w:tc>
          <w:tcPr>
            <w:tcW w:w="438" w:type="dxa"/>
            <w:tcBorders>
              <w:top w:val="nil"/>
              <w:left w:val="nil"/>
              <w:bottom w:val="single" w:color="auto" w:sz="12" w:space="0"/>
              <w:right w:val="single" w:color="auto" w:sz="8" w:space="0"/>
            </w:tcBorders>
            <w:shd w:val="clear" w:color="auto" w:fill="auto"/>
            <w:tcMar>
              <w:top w:w="0" w:type="dxa"/>
              <w:left w:w="108" w:type="dxa"/>
              <w:bottom w:w="0" w:type="dxa"/>
              <w:right w:w="108" w:type="dxa"/>
            </w:tcMar>
            <w:vAlign w:val="center"/>
          </w:tcPr>
          <w:p>
            <w:r>
              <w:t>26</w:t>
            </w:r>
          </w:p>
        </w:tc>
        <w:tc>
          <w:tcPr>
            <w:tcW w:w="438" w:type="dxa"/>
            <w:tcBorders>
              <w:top w:val="nil"/>
              <w:left w:val="nil"/>
              <w:bottom w:val="single" w:color="auto" w:sz="12" w:space="0"/>
              <w:right w:val="single" w:color="auto" w:sz="8" w:space="0"/>
            </w:tcBorders>
            <w:shd w:val="clear" w:color="auto" w:fill="auto"/>
            <w:tcMar>
              <w:top w:w="0" w:type="dxa"/>
              <w:left w:w="108" w:type="dxa"/>
              <w:bottom w:w="0" w:type="dxa"/>
              <w:right w:w="108" w:type="dxa"/>
            </w:tcMar>
            <w:vAlign w:val="center"/>
          </w:tcPr>
          <w:p>
            <w:r>
              <w:t>26</w:t>
            </w:r>
          </w:p>
        </w:tc>
        <w:tc>
          <w:tcPr>
            <w:tcW w:w="438" w:type="dxa"/>
            <w:tcBorders>
              <w:top w:val="nil"/>
              <w:left w:val="nil"/>
              <w:bottom w:val="single" w:color="auto" w:sz="12" w:space="0"/>
              <w:right w:val="single" w:color="auto" w:sz="8" w:space="0"/>
            </w:tcBorders>
            <w:shd w:val="clear" w:color="auto" w:fill="auto"/>
            <w:tcMar>
              <w:top w:w="0" w:type="dxa"/>
              <w:left w:w="108" w:type="dxa"/>
              <w:bottom w:w="0" w:type="dxa"/>
              <w:right w:w="108" w:type="dxa"/>
            </w:tcMar>
            <w:vAlign w:val="center"/>
          </w:tcPr>
          <w:p>
            <w:r>
              <w:t>24</w:t>
            </w:r>
          </w:p>
        </w:tc>
        <w:tc>
          <w:tcPr>
            <w:tcW w:w="438" w:type="dxa"/>
            <w:tcBorders>
              <w:top w:val="nil"/>
              <w:left w:val="nil"/>
              <w:bottom w:val="single" w:color="auto" w:sz="12" w:space="0"/>
              <w:right w:val="single" w:color="auto" w:sz="8" w:space="0"/>
            </w:tcBorders>
            <w:shd w:val="clear" w:color="auto" w:fill="auto"/>
            <w:tcMar>
              <w:top w:w="0" w:type="dxa"/>
              <w:left w:w="108" w:type="dxa"/>
              <w:bottom w:w="0" w:type="dxa"/>
              <w:right w:w="108" w:type="dxa"/>
            </w:tcMar>
            <w:vAlign w:val="center"/>
          </w:tcPr>
          <w:p>
            <w:r>
              <w:t>24</w:t>
            </w:r>
          </w:p>
        </w:tc>
        <w:tc>
          <w:tcPr>
            <w:tcW w:w="438" w:type="dxa"/>
            <w:tcBorders>
              <w:top w:val="nil"/>
              <w:left w:val="nil"/>
              <w:bottom w:val="single" w:color="auto" w:sz="12" w:space="0"/>
              <w:right w:val="single" w:color="auto" w:sz="8" w:space="0"/>
            </w:tcBorders>
            <w:shd w:val="clear" w:color="auto" w:fill="auto"/>
            <w:tcMar>
              <w:top w:w="0" w:type="dxa"/>
              <w:left w:w="108" w:type="dxa"/>
              <w:bottom w:w="0" w:type="dxa"/>
              <w:right w:w="108" w:type="dxa"/>
            </w:tcMar>
            <w:vAlign w:val="center"/>
          </w:tcPr>
          <w:p>
            <w:r>
              <w:t>25</w:t>
            </w:r>
          </w:p>
        </w:tc>
        <w:tc>
          <w:tcPr>
            <w:tcW w:w="438" w:type="dxa"/>
            <w:tcBorders>
              <w:top w:val="nil"/>
              <w:left w:val="nil"/>
              <w:bottom w:val="single" w:color="auto" w:sz="12" w:space="0"/>
              <w:right w:val="single" w:color="auto" w:sz="8" w:space="0"/>
            </w:tcBorders>
            <w:shd w:val="clear" w:color="auto" w:fill="auto"/>
            <w:tcMar>
              <w:top w:w="0" w:type="dxa"/>
              <w:left w:w="108" w:type="dxa"/>
              <w:bottom w:w="0" w:type="dxa"/>
              <w:right w:w="108" w:type="dxa"/>
            </w:tcMar>
            <w:vAlign w:val="center"/>
          </w:tcPr>
          <w:p>
            <w:r>
              <w:t>25</w:t>
            </w:r>
          </w:p>
        </w:tc>
        <w:tc>
          <w:tcPr>
            <w:tcW w:w="438" w:type="dxa"/>
            <w:tcBorders>
              <w:top w:val="nil"/>
              <w:left w:val="nil"/>
              <w:bottom w:val="single" w:color="auto" w:sz="12" w:space="0"/>
              <w:right w:val="single" w:color="auto" w:sz="8" w:space="0"/>
            </w:tcBorders>
            <w:shd w:val="clear" w:color="auto" w:fill="auto"/>
            <w:tcMar>
              <w:top w:w="0" w:type="dxa"/>
              <w:left w:w="108" w:type="dxa"/>
              <w:bottom w:w="0" w:type="dxa"/>
              <w:right w:w="108" w:type="dxa"/>
            </w:tcMar>
            <w:vAlign w:val="center"/>
          </w:tcPr>
          <w:p>
            <w:r>
              <w:t>24</w:t>
            </w:r>
          </w:p>
        </w:tc>
        <w:tc>
          <w:tcPr>
            <w:tcW w:w="438" w:type="dxa"/>
            <w:tcBorders>
              <w:top w:val="nil"/>
              <w:left w:val="nil"/>
              <w:bottom w:val="single" w:color="auto" w:sz="12" w:space="0"/>
              <w:right w:val="single" w:color="auto" w:sz="8" w:space="0"/>
            </w:tcBorders>
            <w:shd w:val="clear" w:color="auto" w:fill="auto"/>
            <w:tcMar>
              <w:top w:w="0" w:type="dxa"/>
              <w:left w:w="108" w:type="dxa"/>
              <w:bottom w:w="0" w:type="dxa"/>
              <w:right w:w="108" w:type="dxa"/>
            </w:tcMar>
            <w:vAlign w:val="center"/>
          </w:tcPr>
          <w:p>
            <w:r>
              <w:t>24</w:t>
            </w:r>
          </w:p>
        </w:tc>
        <w:tc>
          <w:tcPr>
            <w:tcW w:w="526" w:type="dxa"/>
            <w:tcBorders>
              <w:top w:val="nil"/>
              <w:left w:val="nil"/>
              <w:bottom w:val="single" w:color="auto" w:sz="12"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bl>
    <w:p>
      <w:r>
        <w:rPr>
          <w:rFonts w:hint="eastAsia"/>
        </w:rPr>
        <w:t> </w:t>
      </w:r>
    </w:p>
    <w:p>
      <w:pPr>
        <w:pStyle w:val="3"/>
        <w:spacing w:before="156" w:after="156"/>
        <w:ind w:firstLine="640" w:firstLineChars="200"/>
        <w:jc w:val="left"/>
        <w:rPr>
          <w:rFonts w:hint="eastAsia" w:ascii="楷体_GB2312" w:eastAsia="楷体_GB2312" w:hAnsiTheme="minorHAnsi" w:cstheme="minorBidi"/>
          <w:bCs w:val="0"/>
          <w:kern w:val="2"/>
          <w:sz w:val="32"/>
          <w:szCs w:val="32"/>
          <w:lang w:val="en-US" w:eastAsia="zh-CN" w:bidi="ar-SA"/>
        </w:rPr>
      </w:pPr>
      <w:r>
        <w:rPr>
          <w:rFonts w:hint="eastAsia" w:ascii="楷体_GB2312" w:eastAsia="楷体_GB2312" w:hAnsiTheme="minorHAnsi" w:cstheme="minorBidi"/>
          <w:bCs w:val="0"/>
          <w:kern w:val="2"/>
          <w:sz w:val="32"/>
          <w:szCs w:val="32"/>
          <w:lang w:val="en-US" w:eastAsia="zh-CN" w:bidi="ar-SA"/>
        </w:rPr>
        <w:t>（二）</w:t>
      </w:r>
      <w:r>
        <w:rPr>
          <w:rFonts w:hint="eastAsia" w:ascii="楷体_GB2312" w:eastAsia="楷体_GB2312" w:hAnsiTheme="minorHAnsi" w:cstheme="minorBidi"/>
          <w:bCs w:val="0"/>
          <w:kern w:val="2"/>
          <w:sz w:val="32"/>
          <w:szCs w:val="32"/>
          <w:lang w:val="en-US" w:eastAsia="zh-CN" w:bidi="ar-SA"/>
        </w:rPr>
        <w:t>选修课程计划表</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小学教育专业选修类课程要求：总学分不得低于20个学分，其中通识教育模块不低于8个学分，专业教育模块不低于6个学分，教师教育模块不低于6个学分。总学时不低于320个学时。</w:t>
      </w:r>
    </w:p>
    <w:tbl>
      <w:tblPr>
        <w:tblStyle w:val="12"/>
        <w:tblW w:w="5100" w:type="pct"/>
        <w:jc w:val="center"/>
        <w:tblLayout w:type="autofit"/>
        <w:tblCellMar>
          <w:top w:w="0" w:type="dxa"/>
          <w:left w:w="0" w:type="dxa"/>
          <w:bottom w:w="0" w:type="dxa"/>
          <w:right w:w="0" w:type="dxa"/>
        </w:tblCellMar>
      </w:tblPr>
      <w:tblGrid>
        <w:gridCol w:w="426"/>
        <w:gridCol w:w="426"/>
        <w:gridCol w:w="2799"/>
        <w:gridCol w:w="684"/>
        <w:gridCol w:w="567"/>
        <w:gridCol w:w="450"/>
        <w:gridCol w:w="450"/>
        <w:gridCol w:w="450"/>
        <w:gridCol w:w="450"/>
        <w:gridCol w:w="450"/>
        <w:gridCol w:w="450"/>
        <w:gridCol w:w="450"/>
        <w:gridCol w:w="450"/>
        <w:gridCol w:w="426"/>
      </w:tblGrid>
      <w:tr>
        <w:tblPrEx>
          <w:tblCellMar>
            <w:top w:w="0" w:type="dxa"/>
            <w:left w:w="0" w:type="dxa"/>
            <w:bottom w:w="0" w:type="dxa"/>
            <w:right w:w="0" w:type="dxa"/>
          </w:tblCellMar>
        </w:tblPrEx>
        <w:trPr>
          <w:trHeight w:val="638" w:hRule="atLeast"/>
          <w:jc w:val="center"/>
        </w:trPr>
        <w:tc>
          <w:tcPr>
            <w:tcW w:w="445" w:type="dxa"/>
            <w:vMerge w:val="restart"/>
            <w:tcBorders>
              <w:top w:val="single" w:color="auto" w:sz="12" w:space="0"/>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课程</w:t>
            </w:r>
          </w:p>
          <w:p>
            <w:r>
              <w:rPr>
                <w:rFonts w:hint="eastAsia"/>
              </w:rPr>
              <w:t>类别</w:t>
            </w:r>
          </w:p>
        </w:tc>
        <w:tc>
          <w:tcPr>
            <w:tcW w:w="483" w:type="dxa"/>
            <w:vMerge w:val="restart"/>
            <w:tcBorders>
              <w:top w:val="single" w:color="auto" w:sz="12"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课程编号</w:t>
            </w:r>
          </w:p>
        </w:tc>
        <w:tc>
          <w:tcPr>
            <w:tcW w:w="2799" w:type="dxa"/>
            <w:vMerge w:val="restart"/>
            <w:tcBorders>
              <w:top w:val="single" w:color="auto" w:sz="12"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r>
              <w:rPr>
                <w:rFonts w:hint="eastAsia"/>
              </w:rPr>
              <w:t>课程名称</w:t>
            </w:r>
          </w:p>
        </w:tc>
        <w:tc>
          <w:tcPr>
            <w:tcW w:w="636" w:type="dxa"/>
            <w:vMerge w:val="restart"/>
            <w:tcBorders>
              <w:top w:val="single" w:color="auto" w:sz="12" w:space="0"/>
              <w:left w:val="single" w:color="FFFFFF" w:sz="24" w:space="0"/>
              <w:bottom w:val="nil"/>
              <w:right w:val="nil"/>
            </w:tcBorders>
            <w:shd w:val="clear" w:color="auto" w:fill="auto"/>
            <w:tcMar>
              <w:top w:w="0" w:type="dxa"/>
              <w:left w:w="108" w:type="dxa"/>
              <w:bottom w:w="0" w:type="dxa"/>
              <w:right w:w="108" w:type="dxa"/>
            </w:tcMar>
            <w:vAlign w:val="center"/>
          </w:tcPr>
          <w:p>
            <w:r>
              <w:rPr>
                <w:rFonts w:hint="eastAsia"/>
              </w:rPr>
              <w:t>总学时</w:t>
            </w:r>
          </w:p>
        </w:tc>
        <w:tc>
          <w:tcPr>
            <w:tcW w:w="489" w:type="dxa"/>
            <w:vMerge w:val="restart"/>
            <w:tcBorders>
              <w:top w:val="single" w:color="auto" w:sz="12" w:space="0"/>
              <w:left w:val="single" w:color="FFFFFF" w:sz="24" w:space="0"/>
              <w:bottom w:val="nil"/>
              <w:right w:val="nil"/>
            </w:tcBorders>
            <w:shd w:val="clear" w:color="auto" w:fill="auto"/>
            <w:tcMar>
              <w:top w:w="0" w:type="dxa"/>
              <w:left w:w="108" w:type="dxa"/>
              <w:bottom w:w="0" w:type="dxa"/>
              <w:right w:w="108" w:type="dxa"/>
            </w:tcMar>
            <w:vAlign w:val="center"/>
          </w:tcPr>
          <w:p>
            <w:r>
              <w:rPr>
                <w:rFonts w:hint="eastAsia"/>
              </w:rPr>
              <w:t>学分数</w:t>
            </w:r>
          </w:p>
        </w:tc>
        <w:tc>
          <w:tcPr>
            <w:tcW w:w="3410" w:type="dxa"/>
            <w:gridSpan w:val="8"/>
            <w:tcBorders>
              <w:top w:val="single" w:color="auto" w:sz="12"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按学期周课时分配</w:t>
            </w:r>
          </w:p>
        </w:tc>
        <w:tc>
          <w:tcPr>
            <w:tcW w:w="495" w:type="dxa"/>
            <w:vMerge w:val="restart"/>
            <w:tcBorders>
              <w:top w:val="single" w:color="auto" w:sz="12" w:space="0"/>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备注</w:t>
            </w:r>
          </w:p>
        </w:tc>
      </w:tr>
      <w:tr>
        <w:tblPrEx>
          <w:tblCellMar>
            <w:top w:w="0" w:type="dxa"/>
            <w:left w:w="0" w:type="dxa"/>
            <w:bottom w:w="0" w:type="dxa"/>
            <w:right w:w="0" w:type="dxa"/>
          </w:tblCellMar>
        </w:tblPrEx>
        <w:trPr>
          <w:trHeight w:val="468" w:hRule="atLeast"/>
          <w:jc w:val="center"/>
        </w:trPr>
        <w:tc>
          <w:tcPr>
            <w:tcW w:w="0" w:type="auto"/>
            <w:vMerge w:val="continue"/>
            <w:tcBorders>
              <w:top w:val="single" w:color="auto" w:sz="12" w:space="0"/>
              <w:left w:val="single" w:color="auto" w:sz="12" w:space="0"/>
              <w:bottom w:val="single" w:color="auto" w:sz="8" w:space="0"/>
              <w:right w:val="single" w:color="auto" w:sz="8" w:space="0"/>
            </w:tcBorders>
            <w:vAlign w:val="center"/>
          </w:tcPr>
          <w:p/>
        </w:tc>
        <w:tc>
          <w:tcPr>
            <w:tcW w:w="0" w:type="auto"/>
            <w:vMerge w:val="continue"/>
            <w:tcBorders>
              <w:top w:val="single" w:color="auto" w:sz="12" w:space="0"/>
              <w:left w:val="nil"/>
              <w:bottom w:val="single" w:color="auto" w:sz="8" w:space="0"/>
              <w:right w:val="single" w:color="auto" w:sz="8" w:space="0"/>
            </w:tcBorders>
            <w:vAlign w:val="center"/>
          </w:tcPr>
          <w:p/>
        </w:tc>
        <w:tc>
          <w:tcPr>
            <w:tcW w:w="0" w:type="auto"/>
            <w:vMerge w:val="continue"/>
            <w:tcBorders>
              <w:top w:val="single" w:color="auto" w:sz="12" w:space="0"/>
              <w:left w:val="nil"/>
              <w:bottom w:val="single" w:color="auto" w:sz="8" w:space="0"/>
              <w:right w:val="single" w:color="auto" w:sz="8" w:space="0"/>
            </w:tcBorders>
            <w:vAlign w:val="center"/>
          </w:tcPr>
          <w:p/>
        </w:tc>
        <w:tc>
          <w:tcPr>
            <w:tcW w:w="0" w:type="auto"/>
            <w:vMerge w:val="continue"/>
            <w:tcBorders>
              <w:top w:val="single" w:color="auto" w:sz="12" w:space="0"/>
              <w:left w:val="single" w:color="FFFFFF" w:sz="24" w:space="0"/>
              <w:bottom w:val="nil"/>
              <w:right w:val="nil"/>
            </w:tcBorders>
            <w:vAlign w:val="center"/>
          </w:tcPr>
          <w:p/>
        </w:tc>
        <w:tc>
          <w:tcPr>
            <w:tcW w:w="0" w:type="auto"/>
            <w:vMerge w:val="continue"/>
            <w:tcBorders>
              <w:top w:val="single" w:color="auto" w:sz="12" w:space="0"/>
              <w:left w:val="single" w:color="FFFFFF" w:sz="24" w:space="0"/>
              <w:bottom w:val="nil"/>
              <w:right w:val="nil"/>
            </w:tcBorders>
            <w:vAlign w:val="center"/>
          </w:tcP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4</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5</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6</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7</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8</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9</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10</w:t>
            </w:r>
          </w:p>
        </w:tc>
        <w:tc>
          <w:tcPr>
            <w:tcW w:w="0" w:type="auto"/>
            <w:vMerge w:val="continue"/>
            <w:tcBorders>
              <w:top w:val="single" w:color="auto" w:sz="12" w:space="0"/>
              <w:left w:val="nil"/>
              <w:bottom w:val="single" w:color="auto" w:sz="8" w:space="0"/>
              <w:right w:val="single" w:color="auto" w:sz="12" w:space="0"/>
            </w:tcBorders>
            <w:vAlign w:val="center"/>
          </w:tcPr>
          <w:p/>
        </w:tc>
      </w:tr>
      <w:tr>
        <w:trPr>
          <w:trHeight w:val="468" w:hRule="atLeast"/>
          <w:jc w:val="center"/>
        </w:trPr>
        <w:tc>
          <w:tcPr>
            <w:tcW w:w="445" w:type="dxa"/>
            <w:vMerge w:val="restart"/>
            <w:tcBorders>
              <w:top w:val="nil"/>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通识教育课程选修</w:t>
            </w: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中国古诗文欣赏</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中国古代文化史</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国学经典作品选读</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四大名著导读</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汉字文化与教学研究</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小学生作文指导</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朗读技巧与指导</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外国文学作品欣赏</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欧美国家社会与文化</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数学思想与方法</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概率与数理统计</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计算机绘图</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动画设计与制作</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电脑组装与维修</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t>Visual FoxPro</w:t>
            </w:r>
            <w:r>
              <w:rPr>
                <w:rFonts w:hint="eastAsia"/>
              </w:rPr>
              <w:t>程序设计</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走向法治：（民法）</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以案说法</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太极拳</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儿童常见疾病预防与治疗</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食品营养与健康</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书谱</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445" w:type="dxa"/>
            <w:vMerge w:val="restart"/>
            <w:tcBorders>
              <w:top w:val="nil"/>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专业教育课程选修</w:t>
            </w: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吉他</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葫芦丝</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舞蹈</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古筝</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扬琴</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民歌演唱技巧指导</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钢琴演奏与即兴伴奏</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中外音乐欣赏</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通俗歌曲演唱</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美学基础</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素描（装饰绘画）</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艺术史与艺术作品欣赏</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学校实用美术</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化学与生活</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食品化学</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小学数学解题研究</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小学数学教学素材开发与设计</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445" w:type="dxa"/>
            <w:vMerge w:val="restart"/>
            <w:tcBorders>
              <w:top w:val="nil"/>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教师教育课程选修</w:t>
            </w: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中外教育名著选读</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中国教育热点问题研究</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教师职业心理学</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教育统计与心理测量</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心理诊断与咨询技能</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教师职业技能训练</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心理健康教育</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三十六计与教学谋略</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与新课程同行</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国外小学教育发展动态</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小学生心理健康与心理咨询</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小学游戏理论与实践</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小学语文特级教师教学案例分析</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小学数学特级教师教学案例分析</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小学英语教学研究</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小学综合实践活动设计</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0" w:type="auto"/>
            <w:vMerge w:val="continue"/>
            <w:tcBorders>
              <w:top w:val="nil"/>
              <w:left w:val="single" w:color="auto" w:sz="12" w:space="0"/>
              <w:bottom w:val="single" w:color="auto" w:sz="8" w:space="0"/>
              <w:right w:val="single" w:color="auto" w:sz="8" w:space="0"/>
            </w:tcBorders>
            <w:vAlign w:val="center"/>
          </w:tcP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小学科学实验与创新</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32</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2</w:t>
            </w:r>
          </w:p>
        </w:tc>
        <w:tc>
          <w:tcPr>
            <w:tcW w:w="495"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r>
        <w:tblPrEx>
          <w:tblCellMar>
            <w:top w:w="0" w:type="dxa"/>
            <w:left w:w="0" w:type="dxa"/>
            <w:bottom w:w="0" w:type="dxa"/>
            <w:right w:w="0" w:type="dxa"/>
          </w:tblCellMar>
        </w:tblPrEx>
        <w:trPr>
          <w:trHeight w:val="468" w:hRule="atLeast"/>
          <w:jc w:val="center"/>
        </w:trPr>
        <w:tc>
          <w:tcPr>
            <w:tcW w:w="445" w:type="dxa"/>
            <w:tcBorders>
              <w:top w:val="nil"/>
              <w:left w:val="single" w:color="auto" w:sz="12" w:space="0"/>
              <w:bottom w:val="single" w:color="auto" w:sz="12" w:space="0"/>
              <w:right w:val="single" w:color="auto" w:sz="8" w:space="0"/>
            </w:tcBorders>
            <w:shd w:val="clear" w:color="auto" w:fill="auto"/>
            <w:tcMar>
              <w:top w:w="0" w:type="dxa"/>
              <w:left w:w="108" w:type="dxa"/>
              <w:bottom w:w="0" w:type="dxa"/>
              <w:right w:w="108" w:type="dxa"/>
            </w:tcMar>
            <w:vAlign w:val="center"/>
          </w:tcPr>
          <w:p>
            <w:r>
              <w:rPr>
                <w:rFonts w:hint="eastAsia"/>
              </w:rPr>
              <w:t>合计</w:t>
            </w:r>
          </w:p>
        </w:tc>
        <w:tc>
          <w:tcPr>
            <w:tcW w:w="483" w:type="dxa"/>
            <w:tcBorders>
              <w:top w:val="nil"/>
              <w:left w:val="nil"/>
              <w:bottom w:val="single" w:color="auto" w:sz="12"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2799" w:type="dxa"/>
            <w:tcBorders>
              <w:top w:val="nil"/>
              <w:left w:val="nil"/>
              <w:bottom w:val="single" w:color="auto" w:sz="12" w:space="0"/>
              <w:right w:val="single" w:color="auto" w:sz="8" w:space="0"/>
            </w:tcBorders>
            <w:shd w:val="clear" w:color="auto" w:fill="auto"/>
            <w:tcMar>
              <w:top w:w="0" w:type="dxa"/>
              <w:left w:w="108" w:type="dxa"/>
              <w:bottom w:w="0" w:type="dxa"/>
              <w:right w:w="108" w:type="dxa"/>
            </w:tcMar>
            <w:vAlign w:val="center"/>
          </w:tcPr>
          <w:p>
            <w:r>
              <w:rPr>
                <w:rFonts w:hint="eastAsia"/>
              </w:rPr>
              <w:t> </w:t>
            </w:r>
          </w:p>
        </w:tc>
        <w:tc>
          <w:tcPr>
            <w:tcW w:w="636" w:type="dxa"/>
            <w:tcBorders>
              <w:top w:val="nil"/>
              <w:left w:val="nil"/>
              <w:bottom w:val="single" w:color="auto" w:sz="12" w:space="0"/>
              <w:right w:val="single" w:color="auto" w:sz="8" w:space="0"/>
            </w:tcBorders>
            <w:shd w:val="clear" w:color="auto" w:fill="auto"/>
            <w:tcMar>
              <w:top w:w="0" w:type="dxa"/>
              <w:left w:w="108" w:type="dxa"/>
              <w:bottom w:w="0" w:type="dxa"/>
              <w:right w:w="108" w:type="dxa"/>
            </w:tcMar>
            <w:vAlign w:val="bottom"/>
          </w:tcPr>
          <w:p>
            <w:r>
              <w:t>1760</w:t>
            </w:r>
          </w:p>
        </w:tc>
        <w:tc>
          <w:tcPr>
            <w:tcW w:w="489" w:type="dxa"/>
            <w:tcBorders>
              <w:top w:val="nil"/>
              <w:left w:val="nil"/>
              <w:bottom w:val="single" w:color="auto" w:sz="12" w:space="0"/>
              <w:right w:val="single" w:color="auto" w:sz="8" w:space="0"/>
            </w:tcBorders>
            <w:shd w:val="clear" w:color="auto" w:fill="auto"/>
            <w:tcMar>
              <w:top w:w="0" w:type="dxa"/>
              <w:left w:w="108" w:type="dxa"/>
              <w:bottom w:w="0" w:type="dxa"/>
              <w:right w:w="108" w:type="dxa"/>
            </w:tcMar>
            <w:vAlign w:val="bottom"/>
          </w:tcPr>
          <w:p>
            <w:r>
              <w:t>110</w:t>
            </w:r>
          </w:p>
        </w:tc>
        <w:tc>
          <w:tcPr>
            <w:tcW w:w="426" w:type="dxa"/>
            <w:tcBorders>
              <w:top w:val="nil"/>
              <w:left w:val="nil"/>
              <w:bottom w:val="single" w:color="auto" w:sz="12" w:space="0"/>
              <w:right w:val="single" w:color="auto" w:sz="8" w:space="0"/>
            </w:tcBorders>
            <w:shd w:val="clear" w:color="auto" w:fill="auto"/>
            <w:tcMar>
              <w:top w:w="0" w:type="dxa"/>
              <w:left w:w="108" w:type="dxa"/>
              <w:bottom w:w="0" w:type="dxa"/>
              <w:right w:w="108" w:type="dxa"/>
            </w:tcMar>
            <w:vAlign w:val="bottom"/>
          </w:tcPr>
          <w:p>
            <w:r>
              <w:t>14</w:t>
            </w:r>
          </w:p>
        </w:tc>
        <w:tc>
          <w:tcPr>
            <w:tcW w:w="426" w:type="dxa"/>
            <w:tcBorders>
              <w:top w:val="nil"/>
              <w:left w:val="nil"/>
              <w:bottom w:val="single" w:color="auto" w:sz="12" w:space="0"/>
              <w:right w:val="single" w:color="auto" w:sz="8" w:space="0"/>
            </w:tcBorders>
            <w:shd w:val="clear" w:color="auto" w:fill="auto"/>
            <w:tcMar>
              <w:top w:w="0" w:type="dxa"/>
              <w:left w:w="108" w:type="dxa"/>
              <w:bottom w:w="0" w:type="dxa"/>
              <w:right w:w="108" w:type="dxa"/>
            </w:tcMar>
            <w:vAlign w:val="bottom"/>
          </w:tcPr>
          <w:p>
            <w:r>
              <w:t>14</w:t>
            </w:r>
          </w:p>
        </w:tc>
        <w:tc>
          <w:tcPr>
            <w:tcW w:w="426" w:type="dxa"/>
            <w:tcBorders>
              <w:top w:val="nil"/>
              <w:left w:val="nil"/>
              <w:bottom w:val="single" w:color="auto" w:sz="12" w:space="0"/>
              <w:right w:val="single" w:color="auto" w:sz="8" w:space="0"/>
            </w:tcBorders>
            <w:shd w:val="clear" w:color="auto" w:fill="auto"/>
            <w:tcMar>
              <w:top w:w="0" w:type="dxa"/>
              <w:left w:w="108" w:type="dxa"/>
              <w:bottom w:w="0" w:type="dxa"/>
              <w:right w:w="108" w:type="dxa"/>
            </w:tcMar>
            <w:vAlign w:val="bottom"/>
          </w:tcPr>
          <w:p>
            <w:r>
              <w:t>22</w:t>
            </w:r>
          </w:p>
        </w:tc>
        <w:tc>
          <w:tcPr>
            <w:tcW w:w="426" w:type="dxa"/>
            <w:tcBorders>
              <w:top w:val="nil"/>
              <w:left w:val="nil"/>
              <w:bottom w:val="single" w:color="auto" w:sz="12" w:space="0"/>
              <w:right w:val="single" w:color="auto" w:sz="8" w:space="0"/>
            </w:tcBorders>
            <w:shd w:val="clear" w:color="auto" w:fill="auto"/>
            <w:tcMar>
              <w:top w:w="0" w:type="dxa"/>
              <w:left w:w="108" w:type="dxa"/>
              <w:bottom w:w="0" w:type="dxa"/>
              <w:right w:w="108" w:type="dxa"/>
            </w:tcMar>
            <w:vAlign w:val="bottom"/>
          </w:tcPr>
          <w:p>
            <w:r>
              <w:t>22</w:t>
            </w:r>
          </w:p>
        </w:tc>
        <w:tc>
          <w:tcPr>
            <w:tcW w:w="426" w:type="dxa"/>
            <w:tcBorders>
              <w:top w:val="nil"/>
              <w:left w:val="nil"/>
              <w:bottom w:val="single" w:color="auto" w:sz="12" w:space="0"/>
              <w:right w:val="single" w:color="auto" w:sz="8" w:space="0"/>
            </w:tcBorders>
            <w:shd w:val="clear" w:color="auto" w:fill="auto"/>
            <w:tcMar>
              <w:top w:w="0" w:type="dxa"/>
              <w:left w:w="108" w:type="dxa"/>
              <w:bottom w:w="0" w:type="dxa"/>
              <w:right w:w="108" w:type="dxa"/>
            </w:tcMar>
            <w:vAlign w:val="bottom"/>
          </w:tcPr>
          <w:p>
            <w:r>
              <w:t>14</w:t>
            </w:r>
          </w:p>
        </w:tc>
        <w:tc>
          <w:tcPr>
            <w:tcW w:w="426" w:type="dxa"/>
            <w:tcBorders>
              <w:top w:val="nil"/>
              <w:left w:val="nil"/>
              <w:bottom w:val="single" w:color="auto" w:sz="12" w:space="0"/>
              <w:right w:val="single" w:color="auto" w:sz="8" w:space="0"/>
            </w:tcBorders>
            <w:shd w:val="clear" w:color="auto" w:fill="auto"/>
            <w:tcMar>
              <w:top w:w="0" w:type="dxa"/>
              <w:left w:w="108" w:type="dxa"/>
              <w:bottom w:w="0" w:type="dxa"/>
              <w:right w:w="108" w:type="dxa"/>
            </w:tcMar>
            <w:vAlign w:val="bottom"/>
          </w:tcPr>
          <w:p>
            <w:r>
              <w:t>10</w:t>
            </w:r>
          </w:p>
        </w:tc>
        <w:tc>
          <w:tcPr>
            <w:tcW w:w="426" w:type="dxa"/>
            <w:tcBorders>
              <w:top w:val="nil"/>
              <w:left w:val="nil"/>
              <w:bottom w:val="single" w:color="auto" w:sz="12" w:space="0"/>
              <w:right w:val="single" w:color="auto" w:sz="8" w:space="0"/>
            </w:tcBorders>
            <w:shd w:val="clear" w:color="auto" w:fill="auto"/>
            <w:tcMar>
              <w:top w:w="0" w:type="dxa"/>
              <w:left w:w="108" w:type="dxa"/>
              <w:bottom w:w="0" w:type="dxa"/>
              <w:right w:w="108" w:type="dxa"/>
            </w:tcMar>
            <w:vAlign w:val="bottom"/>
          </w:tcPr>
          <w:p>
            <w:r>
              <w:t>10</w:t>
            </w:r>
          </w:p>
        </w:tc>
        <w:tc>
          <w:tcPr>
            <w:tcW w:w="428" w:type="dxa"/>
            <w:tcBorders>
              <w:top w:val="nil"/>
              <w:left w:val="nil"/>
              <w:bottom w:val="single" w:color="auto" w:sz="12" w:space="0"/>
              <w:right w:val="single" w:color="auto" w:sz="8" w:space="0"/>
            </w:tcBorders>
            <w:shd w:val="clear" w:color="auto" w:fill="auto"/>
            <w:tcMar>
              <w:top w:w="0" w:type="dxa"/>
              <w:left w:w="108" w:type="dxa"/>
              <w:bottom w:w="0" w:type="dxa"/>
              <w:right w:w="108" w:type="dxa"/>
            </w:tcMar>
            <w:vAlign w:val="bottom"/>
          </w:tcPr>
          <w:p>
            <w:r>
              <w:t>4</w:t>
            </w:r>
          </w:p>
        </w:tc>
        <w:tc>
          <w:tcPr>
            <w:tcW w:w="495" w:type="dxa"/>
            <w:tcBorders>
              <w:top w:val="nil"/>
              <w:left w:val="nil"/>
              <w:bottom w:val="single" w:color="auto" w:sz="12" w:space="0"/>
              <w:right w:val="single" w:color="auto" w:sz="12" w:space="0"/>
            </w:tcBorders>
            <w:shd w:val="clear" w:color="auto" w:fill="auto"/>
            <w:tcMar>
              <w:top w:w="0" w:type="dxa"/>
              <w:left w:w="108" w:type="dxa"/>
              <w:bottom w:w="0" w:type="dxa"/>
              <w:right w:w="108" w:type="dxa"/>
            </w:tcMar>
            <w:vAlign w:val="center"/>
          </w:tcPr>
          <w:p>
            <w:r>
              <w:rPr>
                <w:rFonts w:hint="eastAsia"/>
              </w:rPr>
              <w:t> </w:t>
            </w:r>
          </w:p>
        </w:tc>
      </w:tr>
    </w:tbl>
    <w:p>
      <w:r>
        <w:rPr>
          <w:rFonts w:hint="eastAsia"/>
        </w:rPr>
        <w:t> </w:t>
      </w:r>
    </w:p>
    <w:p/>
    <w:p/>
    <w:p/>
    <w:p>
      <w:pPr>
        <w:pStyle w:val="3"/>
        <w:spacing w:before="156" w:after="156"/>
        <w:ind w:firstLine="640" w:firstLineChars="200"/>
        <w:jc w:val="left"/>
      </w:pPr>
      <w:r>
        <w:rPr>
          <w:rFonts w:hint="eastAsia" w:ascii="楷体_GB2312" w:eastAsia="楷体_GB2312" w:hAnsiTheme="minorHAnsi" w:cstheme="minorBidi"/>
          <w:bCs w:val="0"/>
          <w:kern w:val="2"/>
          <w:sz w:val="32"/>
          <w:szCs w:val="32"/>
          <w:lang w:val="en-US" w:eastAsia="zh-CN" w:bidi="ar-SA"/>
        </w:rPr>
        <w:t>（三）</w:t>
      </w:r>
      <w:r>
        <w:rPr>
          <w:rFonts w:hint="eastAsia" w:ascii="楷体_GB2312" w:eastAsia="楷体_GB2312" w:hAnsiTheme="minorHAnsi" w:cstheme="minorBidi"/>
          <w:bCs w:val="0"/>
          <w:kern w:val="2"/>
          <w:sz w:val="32"/>
          <w:szCs w:val="32"/>
          <w:lang w:val="en-US" w:eastAsia="zh-CN" w:bidi="ar-SA"/>
        </w:rPr>
        <w:t>教育实训、实践课程计划表</w:t>
      </w:r>
    </w:p>
    <w:tbl>
      <w:tblPr>
        <w:tblStyle w:val="12"/>
        <w:tblW w:w="4900" w:type="pct"/>
        <w:jc w:val="center"/>
        <w:tblLayout w:type="fixed"/>
        <w:tblCellMar>
          <w:top w:w="0" w:type="dxa"/>
          <w:left w:w="0" w:type="dxa"/>
          <w:bottom w:w="0" w:type="dxa"/>
          <w:right w:w="0" w:type="dxa"/>
        </w:tblCellMar>
      </w:tblPr>
      <w:tblGrid>
        <w:gridCol w:w="642"/>
        <w:gridCol w:w="780"/>
        <w:gridCol w:w="2230"/>
        <w:gridCol w:w="633"/>
        <w:gridCol w:w="483"/>
        <w:gridCol w:w="456"/>
        <w:gridCol w:w="502"/>
        <w:gridCol w:w="456"/>
        <w:gridCol w:w="477"/>
        <w:gridCol w:w="483"/>
        <w:gridCol w:w="688"/>
        <w:gridCol w:w="522"/>
      </w:tblGrid>
      <w:tr>
        <w:tblPrEx>
          <w:tblCellMar>
            <w:top w:w="0" w:type="dxa"/>
            <w:left w:w="0" w:type="dxa"/>
            <w:bottom w:w="0" w:type="dxa"/>
            <w:right w:w="0" w:type="dxa"/>
          </w:tblCellMar>
        </w:tblPrEx>
        <w:trPr>
          <w:trHeight w:val="649" w:hRule="atLeast"/>
          <w:jc w:val="center"/>
        </w:trPr>
        <w:tc>
          <w:tcPr>
            <w:tcW w:w="642" w:type="dxa"/>
            <w:vMerge w:val="restart"/>
            <w:tcBorders>
              <w:top w:val="single" w:color="auto" w:sz="12" w:space="0"/>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r>
              <w:rPr>
                <w:rFonts w:hint="eastAsia"/>
              </w:rPr>
              <w:t>课程</w:t>
            </w:r>
          </w:p>
          <w:p>
            <w:r>
              <w:rPr>
                <w:rFonts w:hint="eastAsia"/>
              </w:rPr>
              <w:t>类别</w:t>
            </w:r>
          </w:p>
        </w:tc>
        <w:tc>
          <w:tcPr>
            <w:tcW w:w="780" w:type="dxa"/>
            <w:vMerge w:val="restart"/>
            <w:tcBorders>
              <w:top w:val="single" w:color="auto" w:sz="12"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rFonts w:hint="eastAsia"/>
                <w:sz w:val="24"/>
                <w:szCs w:val="24"/>
              </w:rPr>
              <w:t>课程编号</w:t>
            </w:r>
          </w:p>
        </w:tc>
        <w:tc>
          <w:tcPr>
            <w:tcW w:w="2230" w:type="dxa"/>
            <w:vMerge w:val="restart"/>
            <w:tcBorders>
              <w:top w:val="single" w:color="auto" w:sz="12"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rPr>
                <w:sz w:val="24"/>
                <w:szCs w:val="24"/>
              </w:rPr>
            </w:pPr>
            <w:r>
              <w:rPr>
                <w:rFonts w:hint="eastAsia"/>
                <w:sz w:val="24"/>
                <w:szCs w:val="24"/>
              </w:rPr>
              <w:t>课程名称</w:t>
            </w:r>
          </w:p>
        </w:tc>
        <w:tc>
          <w:tcPr>
            <w:tcW w:w="633" w:type="dxa"/>
            <w:vMerge w:val="restart"/>
            <w:tcBorders>
              <w:top w:val="single" w:color="auto" w:sz="12" w:space="0"/>
              <w:left w:val="single" w:color="FFFFFF" w:sz="24" w:space="0"/>
              <w:bottom w:val="nil"/>
              <w:right w:val="nil"/>
            </w:tcBorders>
            <w:shd w:val="clear" w:color="auto" w:fill="auto"/>
            <w:tcMar>
              <w:top w:w="0" w:type="dxa"/>
              <w:left w:w="108" w:type="dxa"/>
              <w:bottom w:w="0" w:type="dxa"/>
              <w:right w:w="108" w:type="dxa"/>
            </w:tcMar>
            <w:vAlign w:val="center"/>
          </w:tcPr>
          <w:p>
            <w:pPr>
              <w:rPr>
                <w:sz w:val="24"/>
                <w:szCs w:val="24"/>
              </w:rPr>
            </w:pPr>
            <w:r>
              <w:rPr>
                <w:rFonts w:hint="eastAsia"/>
                <w:sz w:val="24"/>
                <w:szCs w:val="24"/>
              </w:rPr>
              <w:t>总学时</w:t>
            </w:r>
          </w:p>
        </w:tc>
        <w:tc>
          <w:tcPr>
            <w:tcW w:w="483" w:type="dxa"/>
            <w:vMerge w:val="restart"/>
            <w:tcBorders>
              <w:top w:val="single" w:color="auto" w:sz="12" w:space="0"/>
              <w:left w:val="single" w:color="FFFFFF" w:sz="24" w:space="0"/>
              <w:bottom w:val="nil"/>
              <w:right w:val="nil"/>
            </w:tcBorders>
            <w:shd w:val="clear" w:color="auto" w:fill="auto"/>
            <w:tcMar>
              <w:top w:w="0" w:type="dxa"/>
              <w:left w:w="108" w:type="dxa"/>
              <w:bottom w:w="0" w:type="dxa"/>
              <w:right w:w="108" w:type="dxa"/>
            </w:tcMar>
          </w:tcPr>
          <w:p>
            <w:pPr>
              <w:rPr>
                <w:sz w:val="24"/>
                <w:szCs w:val="24"/>
              </w:rPr>
            </w:pPr>
            <w:r>
              <w:rPr>
                <w:rFonts w:hint="eastAsia"/>
                <w:sz w:val="24"/>
                <w:szCs w:val="24"/>
              </w:rPr>
              <w:t>学分数</w:t>
            </w:r>
          </w:p>
        </w:tc>
        <w:tc>
          <w:tcPr>
            <w:tcW w:w="3062" w:type="dxa"/>
            <w:gridSpan w:val="6"/>
            <w:tcBorders>
              <w:top w:val="single" w:color="auto" w:sz="12"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rFonts w:hint="eastAsia"/>
                <w:sz w:val="24"/>
                <w:szCs w:val="24"/>
              </w:rPr>
              <w:t>按学期周课时分配</w:t>
            </w:r>
          </w:p>
        </w:tc>
        <w:tc>
          <w:tcPr>
            <w:tcW w:w="522" w:type="dxa"/>
            <w:vMerge w:val="restart"/>
            <w:tcBorders>
              <w:top w:val="single" w:color="auto" w:sz="12" w:space="0"/>
              <w:left w:val="nil"/>
              <w:bottom w:val="single" w:color="auto" w:sz="8" w:space="0"/>
              <w:right w:val="single" w:color="auto" w:sz="12" w:space="0"/>
            </w:tcBorders>
            <w:shd w:val="clear" w:color="auto" w:fill="auto"/>
            <w:tcMar>
              <w:top w:w="0" w:type="dxa"/>
              <w:left w:w="108" w:type="dxa"/>
              <w:bottom w:w="0" w:type="dxa"/>
              <w:right w:w="108" w:type="dxa"/>
            </w:tcMar>
            <w:vAlign w:val="center"/>
          </w:tcPr>
          <w:p>
            <w:r>
              <w:rPr>
                <w:rFonts w:hint="eastAsia"/>
              </w:rPr>
              <w:t>备注</w:t>
            </w:r>
          </w:p>
        </w:tc>
      </w:tr>
      <w:tr>
        <w:tblPrEx>
          <w:tblCellMar>
            <w:top w:w="0" w:type="dxa"/>
            <w:left w:w="0" w:type="dxa"/>
            <w:bottom w:w="0" w:type="dxa"/>
            <w:right w:w="0" w:type="dxa"/>
          </w:tblCellMar>
        </w:tblPrEx>
        <w:trPr>
          <w:trHeight w:val="1575" w:hRule="atLeast"/>
          <w:jc w:val="center"/>
        </w:trPr>
        <w:tc>
          <w:tcPr>
            <w:tcW w:w="642" w:type="dxa"/>
            <w:vMerge w:val="continue"/>
            <w:tcBorders>
              <w:top w:val="single" w:color="auto" w:sz="12" w:space="0"/>
              <w:left w:val="single" w:color="auto" w:sz="12" w:space="0"/>
              <w:bottom w:val="single" w:color="auto" w:sz="8" w:space="0"/>
              <w:right w:val="single" w:color="auto" w:sz="8" w:space="0"/>
            </w:tcBorders>
            <w:vAlign w:val="center"/>
          </w:tcPr>
          <w:p/>
        </w:tc>
        <w:tc>
          <w:tcPr>
            <w:tcW w:w="780" w:type="dxa"/>
            <w:vMerge w:val="continue"/>
            <w:tcBorders>
              <w:top w:val="single" w:color="auto" w:sz="12" w:space="0"/>
              <w:left w:val="nil"/>
              <w:bottom w:val="single" w:color="auto" w:sz="8" w:space="0"/>
              <w:right w:val="single" w:color="auto" w:sz="8" w:space="0"/>
            </w:tcBorders>
            <w:vAlign w:val="center"/>
          </w:tcPr>
          <w:p>
            <w:pPr>
              <w:rPr>
                <w:sz w:val="24"/>
                <w:szCs w:val="24"/>
              </w:rPr>
            </w:pPr>
          </w:p>
        </w:tc>
        <w:tc>
          <w:tcPr>
            <w:tcW w:w="2230" w:type="dxa"/>
            <w:vMerge w:val="continue"/>
            <w:tcBorders>
              <w:top w:val="single" w:color="auto" w:sz="12" w:space="0"/>
              <w:left w:val="nil"/>
              <w:bottom w:val="single" w:color="auto" w:sz="8" w:space="0"/>
              <w:right w:val="single" w:color="auto" w:sz="8" w:space="0"/>
            </w:tcBorders>
            <w:vAlign w:val="center"/>
          </w:tcPr>
          <w:p>
            <w:pPr>
              <w:rPr>
                <w:sz w:val="24"/>
                <w:szCs w:val="24"/>
              </w:rPr>
            </w:pPr>
          </w:p>
        </w:tc>
        <w:tc>
          <w:tcPr>
            <w:tcW w:w="633" w:type="dxa"/>
            <w:vMerge w:val="continue"/>
            <w:tcBorders>
              <w:top w:val="single" w:color="auto" w:sz="12" w:space="0"/>
              <w:left w:val="single" w:color="FFFFFF" w:sz="24" w:space="0"/>
              <w:bottom w:val="nil"/>
              <w:right w:val="nil"/>
            </w:tcBorders>
            <w:vAlign w:val="center"/>
          </w:tcPr>
          <w:p>
            <w:pPr>
              <w:rPr>
                <w:sz w:val="24"/>
                <w:szCs w:val="24"/>
              </w:rPr>
            </w:pPr>
          </w:p>
        </w:tc>
        <w:tc>
          <w:tcPr>
            <w:tcW w:w="483" w:type="dxa"/>
            <w:vMerge w:val="continue"/>
            <w:tcBorders>
              <w:top w:val="single" w:color="auto" w:sz="12" w:space="0"/>
              <w:left w:val="single" w:color="FFFFFF" w:sz="24" w:space="0"/>
              <w:bottom w:val="nil"/>
              <w:right w:val="nil"/>
            </w:tcBorders>
            <w:vAlign w:val="center"/>
          </w:tcPr>
          <w:p>
            <w:pPr>
              <w:rPr>
                <w:sz w:val="24"/>
                <w:szCs w:val="24"/>
              </w:rPr>
            </w:pPr>
          </w:p>
        </w:tc>
        <w:tc>
          <w:tcPr>
            <w:tcW w:w="4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rFonts w:hint="eastAsia"/>
                <w:sz w:val="24"/>
                <w:szCs w:val="24"/>
              </w:rPr>
              <w:t>5</w:t>
            </w:r>
          </w:p>
        </w:tc>
        <w:tc>
          <w:tcPr>
            <w:tcW w:w="50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rFonts w:hint="eastAsia"/>
                <w:sz w:val="24"/>
                <w:szCs w:val="24"/>
              </w:rPr>
              <w:t>6</w:t>
            </w:r>
          </w:p>
        </w:tc>
        <w:tc>
          <w:tcPr>
            <w:tcW w:w="4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rFonts w:hint="eastAsia"/>
                <w:sz w:val="24"/>
                <w:szCs w:val="24"/>
              </w:rPr>
              <w:t>7</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rFonts w:hint="eastAsia"/>
                <w:sz w:val="24"/>
                <w:szCs w:val="24"/>
              </w:rPr>
              <w:t>8</w:t>
            </w: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rFonts w:hint="eastAsia"/>
                <w:sz w:val="24"/>
                <w:szCs w:val="24"/>
              </w:rPr>
              <w:t>9</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rFonts w:hint="eastAsia"/>
                <w:sz w:val="24"/>
                <w:szCs w:val="24"/>
              </w:rPr>
              <w:t>10</w:t>
            </w:r>
          </w:p>
        </w:tc>
        <w:tc>
          <w:tcPr>
            <w:tcW w:w="522" w:type="dxa"/>
            <w:vMerge w:val="continue"/>
            <w:tcBorders>
              <w:top w:val="single" w:color="auto" w:sz="12" w:space="0"/>
              <w:left w:val="nil"/>
              <w:bottom w:val="single" w:color="auto" w:sz="8" w:space="0"/>
              <w:right w:val="single" w:color="auto" w:sz="12" w:space="0"/>
            </w:tcBorders>
            <w:vAlign w:val="center"/>
          </w:tcPr>
          <w:p/>
        </w:tc>
      </w:tr>
      <w:tr>
        <w:trPr>
          <w:trHeight w:val="458" w:hRule="atLeast"/>
          <w:jc w:val="center"/>
        </w:trPr>
        <w:tc>
          <w:tcPr>
            <w:tcW w:w="642" w:type="dxa"/>
            <w:vMerge w:val="restart"/>
            <w:tcBorders>
              <w:top w:val="single" w:color="FFFFFF" w:sz="24" w:space="0"/>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rFonts w:hint="eastAsia"/>
                <w:sz w:val="24"/>
                <w:szCs w:val="24"/>
              </w:rPr>
              <w:t>实训课程</w:t>
            </w:r>
          </w:p>
        </w:tc>
        <w:tc>
          <w:tcPr>
            <w:tcW w:w="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sz w:val="24"/>
                <w:szCs w:val="24"/>
              </w:rPr>
            </w:pPr>
            <w:r>
              <w:rPr>
                <w:rFonts w:hint="eastAsia"/>
                <w:sz w:val="24"/>
                <w:szCs w:val="24"/>
              </w:rPr>
              <w:t> </w:t>
            </w:r>
          </w:p>
        </w:tc>
        <w:tc>
          <w:tcPr>
            <w:tcW w:w="22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rFonts w:hint="eastAsia"/>
                <w:sz w:val="24"/>
                <w:szCs w:val="24"/>
              </w:rPr>
              <w:t>教师角色体验</w:t>
            </w:r>
          </w:p>
        </w:tc>
        <w:tc>
          <w:tcPr>
            <w:tcW w:w="6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sz w:val="24"/>
                <w:szCs w:val="24"/>
              </w:rPr>
              <w:t>32</w:t>
            </w: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sz w:val="24"/>
                <w:szCs w:val="24"/>
              </w:rPr>
              <w:t>2</w:t>
            </w:r>
          </w:p>
        </w:tc>
        <w:tc>
          <w:tcPr>
            <w:tcW w:w="45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sz w:val="24"/>
                <w:szCs w:val="24"/>
              </w:rPr>
            </w:pPr>
            <w:r>
              <w:rPr>
                <w:rFonts w:hint="eastAsia"/>
                <w:sz w:val="24"/>
                <w:szCs w:val="24"/>
              </w:rPr>
              <w:t> </w:t>
            </w:r>
          </w:p>
        </w:tc>
        <w:tc>
          <w:tcPr>
            <w:tcW w:w="50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sz w:val="24"/>
                <w:szCs w:val="24"/>
              </w:rPr>
            </w:pPr>
            <w:r>
              <w:rPr>
                <w:rFonts w:hint="eastAsia"/>
                <w:sz w:val="24"/>
                <w:szCs w:val="24"/>
              </w:rPr>
              <w:t> </w:t>
            </w:r>
          </w:p>
        </w:tc>
        <w:tc>
          <w:tcPr>
            <w:tcW w:w="45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sz w:val="24"/>
                <w:szCs w:val="24"/>
              </w:rPr>
            </w:pPr>
            <w:r>
              <w:rPr>
                <w:rFonts w:hint="eastAsia"/>
                <w:sz w:val="24"/>
                <w:szCs w:val="24"/>
              </w:rPr>
              <w:t> </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sz w:val="24"/>
                <w:szCs w:val="24"/>
              </w:rPr>
            </w:pPr>
            <w:r>
              <w:rPr>
                <w:rFonts w:hint="eastAsia"/>
                <w:sz w:val="24"/>
                <w:szCs w:val="24"/>
              </w:rPr>
              <w:t> </w:t>
            </w: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sz w:val="24"/>
                <w:szCs w:val="24"/>
              </w:rPr>
              <w:t>2</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sz w:val="24"/>
                <w:szCs w:val="24"/>
              </w:rPr>
            </w:pPr>
            <w:r>
              <w:rPr>
                <w:rFonts w:hint="eastAsia"/>
                <w:sz w:val="24"/>
                <w:szCs w:val="24"/>
              </w:rPr>
              <w:t> </w:t>
            </w:r>
          </w:p>
        </w:tc>
        <w:tc>
          <w:tcPr>
            <w:tcW w:w="522"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pPr>
              <w:rPr>
                <w:sz w:val="24"/>
                <w:szCs w:val="24"/>
              </w:rPr>
            </w:pPr>
            <w:r>
              <w:rPr>
                <w:rFonts w:hint="eastAsia"/>
                <w:sz w:val="24"/>
                <w:szCs w:val="24"/>
              </w:rPr>
              <w:t> </w:t>
            </w:r>
          </w:p>
        </w:tc>
      </w:tr>
      <w:tr>
        <w:tblPrEx>
          <w:tblCellMar>
            <w:top w:w="0" w:type="dxa"/>
            <w:left w:w="0" w:type="dxa"/>
            <w:bottom w:w="0" w:type="dxa"/>
            <w:right w:w="0" w:type="dxa"/>
          </w:tblCellMar>
        </w:tblPrEx>
        <w:trPr>
          <w:trHeight w:val="458" w:hRule="atLeast"/>
          <w:jc w:val="center"/>
        </w:trPr>
        <w:tc>
          <w:tcPr>
            <w:tcW w:w="642" w:type="dxa"/>
            <w:vMerge w:val="continue"/>
            <w:tcBorders>
              <w:top w:val="single" w:color="FFFFFF" w:sz="24" w:space="0"/>
              <w:left w:val="single" w:color="auto" w:sz="12" w:space="0"/>
              <w:bottom w:val="single" w:color="auto" w:sz="8" w:space="0"/>
              <w:right w:val="single" w:color="auto" w:sz="8" w:space="0"/>
            </w:tcBorders>
            <w:vAlign w:val="center"/>
          </w:tcPr>
          <w:p>
            <w:pPr>
              <w:rPr>
                <w:sz w:val="24"/>
                <w:szCs w:val="24"/>
              </w:rPr>
            </w:pPr>
          </w:p>
        </w:tc>
        <w:tc>
          <w:tcPr>
            <w:tcW w:w="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sz w:val="24"/>
                <w:szCs w:val="24"/>
              </w:rPr>
            </w:pPr>
            <w:r>
              <w:rPr>
                <w:rFonts w:hint="eastAsia"/>
                <w:sz w:val="24"/>
                <w:szCs w:val="24"/>
              </w:rPr>
              <w:t> </w:t>
            </w:r>
          </w:p>
        </w:tc>
        <w:tc>
          <w:tcPr>
            <w:tcW w:w="22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rFonts w:hint="eastAsia"/>
                <w:sz w:val="24"/>
                <w:szCs w:val="24"/>
              </w:rPr>
              <w:t>教师语言能力训练</w:t>
            </w:r>
          </w:p>
        </w:tc>
        <w:tc>
          <w:tcPr>
            <w:tcW w:w="6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sz w:val="24"/>
                <w:szCs w:val="24"/>
              </w:rPr>
              <w:t>32</w:t>
            </w: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sz w:val="24"/>
                <w:szCs w:val="24"/>
              </w:rPr>
              <w:t>2</w:t>
            </w:r>
          </w:p>
        </w:tc>
        <w:tc>
          <w:tcPr>
            <w:tcW w:w="45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sz w:val="24"/>
                <w:szCs w:val="24"/>
              </w:rPr>
            </w:pPr>
            <w:r>
              <w:rPr>
                <w:rFonts w:hint="eastAsia"/>
                <w:sz w:val="24"/>
                <w:szCs w:val="24"/>
              </w:rPr>
              <w:t> </w:t>
            </w:r>
          </w:p>
        </w:tc>
        <w:tc>
          <w:tcPr>
            <w:tcW w:w="50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sz w:val="24"/>
                <w:szCs w:val="24"/>
              </w:rPr>
            </w:pPr>
            <w:r>
              <w:rPr>
                <w:rFonts w:hint="eastAsia"/>
                <w:sz w:val="24"/>
                <w:szCs w:val="24"/>
              </w:rPr>
              <w:t> </w:t>
            </w:r>
          </w:p>
        </w:tc>
        <w:tc>
          <w:tcPr>
            <w:tcW w:w="45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sz w:val="24"/>
                <w:szCs w:val="24"/>
              </w:rPr>
            </w:pPr>
            <w:r>
              <w:rPr>
                <w:rFonts w:hint="eastAsia"/>
                <w:sz w:val="24"/>
                <w:szCs w:val="24"/>
              </w:rPr>
              <w:t> </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sz w:val="24"/>
                <w:szCs w:val="24"/>
              </w:rPr>
            </w:pPr>
            <w:r>
              <w:rPr>
                <w:rFonts w:hint="eastAsia"/>
                <w:sz w:val="24"/>
                <w:szCs w:val="24"/>
              </w:rPr>
              <w:t> </w:t>
            </w: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sz w:val="24"/>
                <w:szCs w:val="24"/>
              </w:rPr>
              <w:t>2</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sz w:val="24"/>
                <w:szCs w:val="24"/>
              </w:rPr>
            </w:pPr>
            <w:r>
              <w:rPr>
                <w:rFonts w:hint="eastAsia"/>
                <w:sz w:val="24"/>
                <w:szCs w:val="24"/>
              </w:rPr>
              <w:t> </w:t>
            </w:r>
          </w:p>
        </w:tc>
        <w:tc>
          <w:tcPr>
            <w:tcW w:w="522"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pPr>
              <w:rPr>
                <w:sz w:val="24"/>
                <w:szCs w:val="24"/>
              </w:rPr>
            </w:pPr>
            <w:r>
              <w:rPr>
                <w:rFonts w:hint="eastAsia"/>
                <w:sz w:val="24"/>
                <w:szCs w:val="24"/>
              </w:rPr>
              <w:t> </w:t>
            </w:r>
          </w:p>
        </w:tc>
      </w:tr>
      <w:tr>
        <w:tblPrEx>
          <w:tblCellMar>
            <w:top w:w="0" w:type="dxa"/>
            <w:left w:w="0" w:type="dxa"/>
            <w:bottom w:w="0" w:type="dxa"/>
            <w:right w:w="0" w:type="dxa"/>
          </w:tblCellMar>
        </w:tblPrEx>
        <w:trPr>
          <w:trHeight w:val="458" w:hRule="atLeast"/>
          <w:jc w:val="center"/>
        </w:trPr>
        <w:tc>
          <w:tcPr>
            <w:tcW w:w="642" w:type="dxa"/>
            <w:vMerge w:val="continue"/>
            <w:tcBorders>
              <w:top w:val="single" w:color="FFFFFF" w:sz="24" w:space="0"/>
              <w:left w:val="single" w:color="auto" w:sz="12" w:space="0"/>
              <w:bottom w:val="single" w:color="auto" w:sz="8" w:space="0"/>
              <w:right w:val="single" w:color="auto" w:sz="8" w:space="0"/>
            </w:tcBorders>
            <w:vAlign w:val="center"/>
          </w:tcPr>
          <w:p>
            <w:pPr>
              <w:rPr>
                <w:sz w:val="24"/>
                <w:szCs w:val="24"/>
              </w:rPr>
            </w:pPr>
          </w:p>
        </w:tc>
        <w:tc>
          <w:tcPr>
            <w:tcW w:w="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sz w:val="24"/>
                <w:szCs w:val="24"/>
              </w:rPr>
            </w:pPr>
            <w:r>
              <w:rPr>
                <w:rFonts w:hint="eastAsia"/>
                <w:sz w:val="24"/>
                <w:szCs w:val="24"/>
              </w:rPr>
              <w:t> </w:t>
            </w:r>
          </w:p>
        </w:tc>
        <w:tc>
          <w:tcPr>
            <w:tcW w:w="22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rFonts w:hint="eastAsia"/>
                <w:sz w:val="24"/>
                <w:szCs w:val="24"/>
              </w:rPr>
              <w:t>多媒体技术与课件制作实训</w:t>
            </w:r>
          </w:p>
        </w:tc>
        <w:tc>
          <w:tcPr>
            <w:tcW w:w="6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sz w:val="24"/>
                <w:szCs w:val="24"/>
              </w:rPr>
              <w:t>64</w:t>
            </w: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sz w:val="24"/>
                <w:szCs w:val="24"/>
              </w:rPr>
              <w:t>4</w:t>
            </w:r>
          </w:p>
        </w:tc>
        <w:tc>
          <w:tcPr>
            <w:tcW w:w="45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sz w:val="24"/>
                <w:szCs w:val="24"/>
              </w:rPr>
            </w:pPr>
            <w:r>
              <w:rPr>
                <w:rFonts w:hint="eastAsia"/>
                <w:sz w:val="24"/>
                <w:szCs w:val="24"/>
              </w:rPr>
              <w:t> </w:t>
            </w:r>
          </w:p>
        </w:tc>
        <w:tc>
          <w:tcPr>
            <w:tcW w:w="50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sz w:val="24"/>
                <w:szCs w:val="24"/>
              </w:rPr>
            </w:pPr>
            <w:r>
              <w:rPr>
                <w:rFonts w:hint="eastAsia"/>
                <w:sz w:val="24"/>
                <w:szCs w:val="24"/>
              </w:rPr>
              <w:t> </w:t>
            </w:r>
          </w:p>
        </w:tc>
        <w:tc>
          <w:tcPr>
            <w:tcW w:w="45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sz w:val="24"/>
                <w:szCs w:val="24"/>
              </w:rPr>
            </w:pPr>
            <w:r>
              <w:rPr>
                <w:rFonts w:hint="eastAsia"/>
                <w:sz w:val="24"/>
                <w:szCs w:val="24"/>
              </w:rPr>
              <w:t> </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sz w:val="24"/>
                <w:szCs w:val="24"/>
              </w:rPr>
            </w:pPr>
            <w:r>
              <w:rPr>
                <w:rFonts w:hint="eastAsia"/>
                <w:sz w:val="24"/>
                <w:szCs w:val="24"/>
              </w:rPr>
              <w:t> </w:t>
            </w: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sz w:val="24"/>
                <w:szCs w:val="24"/>
              </w:rPr>
              <w:t>4</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sz w:val="24"/>
                <w:szCs w:val="24"/>
              </w:rPr>
            </w:pPr>
            <w:r>
              <w:rPr>
                <w:rFonts w:hint="eastAsia"/>
                <w:sz w:val="24"/>
                <w:szCs w:val="24"/>
              </w:rPr>
              <w:t> </w:t>
            </w:r>
          </w:p>
        </w:tc>
        <w:tc>
          <w:tcPr>
            <w:tcW w:w="522"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pPr>
              <w:rPr>
                <w:sz w:val="24"/>
                <w:szCs w:val="24"/>
              </w:rPr>
            </w:pPr>
            <w:r>
              <w:rPr>
                <w:rFonts w:hint="eastAsia"/>
                <w:sz w:val="24"/>
                <w:szCs w:val="24"/>
              </w:rPr>
              <w:t> </w:t>
            </w:r>
          </w:p>
        </w:tc>
      </w:tr>
      <w:tr>
        <w:tblPrEx>
          <w:tblCellMar>
            <w:top w:w="0" w:type="dxa"/>
            <w:left w:w="0" w:type="dxa"/>
            <w:bottom w:w="0" w:type="dxa"/>
            <w:right w:w="0" w:type="dxa"/>
          </w:tblCellMar>
        </w:tblPrEx>
        <w:trPr>
          <w:trHeight w:val="458" w:hRule="atLeast"/>
          <w:jc w:val="center"/>
        </w:trPr>
        <w:tc>
          <w:tcPr>
            <w:tcW w:w="642" w:type="dxa"/>
            <w:vMerge w:val="continue"/>
            <w:tcBorders>
              <w:top w:val="single" w:color="FFFFFF" w:sz="24" w:space="0"/>
              <w:left w:val="single" w:color="auto" w:sz="12" w:space="0"/>
              <w:bottom w:val="single" w:color="auto" w:sz="8" w:space="0"/>
              <w:right w:val="single" w:color="auto" w:sz="8" w:space="0"/>
            </w:tcBorders>
            <w:vAlign w:val="center"/>
          </w:tcPr>
          <w:p>
            <w:pPr>
              <w:rPr>
                <w:sz w:val="24"/>
                <w:szCs w:val="24"/>
              </w:rPr>
            </w:pPr>
          </w:p>
        </w:tc>
        <w:tc>
          <w:tcPr>
            <w:tcW w:w="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sz w:val="24"/>
                <w:szCs w:val="24"/>
              </w:rPr>
            </w:pPr>
            <w:r>
              <w:rPr>
                <w:rFonts w:hint="eastAsia"/>
                <w:sz w:val="24"/>
                <w:szCs w:val="24"/>
              </w:rPr>
              <w:t> </w:t>
            </w:r>
          </w:p>
        </w:tc>
        <w:tc>
          <w:tcPr>
            <w:tcW w:w="22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rFonts w:hint="eastAsia"/>
                <w:sz w:val="24"/>
                <w:szCs w:val="24"/>
              </w:rPr>
              <w:t>教学设计训练</w:t>
            </w:r>
          </w:p>
        </w:tc>
        <w:tc>
          <w:tcPr>
            <w:tcW w:w="6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sz w:val="24"/>
                <w:szCs w:val="24"/>
              </w:rPr>
              <w:t>32</w:t>
            </w: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sz w:val="24"/>
                <w:szCs w:val="24"/>
              </w:rPr>
              <w:t>2</w:t>
            </w:r>
          </w:p>
        </w:tc>
        <w:tc>
          <w:tcPr>
            <w:tcW w:w="45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sz w:val="24"/>
                <w:szCs w:val="24"/>
              </w:rPr>
            </w:pPr>
            <w:r>
              <w:rPr>
                <w:rFonts w:hint="eastAsia"/>
                <w:sz w:val="24"/>
                <w:szCs w:val="24"/>
              </w:rPr>
              <w:t> </w:t>
            </w:r>
          </w:p>
        </w:tc>
        <w:tc>
          <w:tcPr>
            <w:tcW w:w="50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sz w:val="24"/>
                <w:szCs w:val="24"/>
              </w:rPr>
            </w:pPr>
            <w:r>
              <w:rPr>
                <w:rFonts w:hint="eastAsia"/>
                <w:sz w:val="24"/>
                <w:szCs w:val="24"/>
              </w:rPr>
              <w:t> </w:t>
            </w:r>
          </w:p>
        </w:tc>
        <w:tc>
          <w:tcPr>
            <w:tcW w:w="45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sz w:val="24"/>
                <w:szCs w:val="24"/>
              </w:rPr>
            </w:pPr>
            <w:r>
              <w:rPr>
                <w:rFonts w:hint="eastAsia"/>
                <w:sz w:val="24"/>
                <w:szCs w:val="24"/>
              </w:rPr>
              <w:t> </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sz w:val="24"/>
                <w:szCs w:val="24"/>
              </w:rPr>
            </w:pPr>
            <w:r>
              <w:rPr>
                <w:rFonts w:hint="eastAsia"/>
                <w:sz w:val="24"/>
                <w:szCs w:val="24"/>
              </w:rPr>
              <w:t> </w:t>
            </w: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sz w:val="24"/>
                <w:szCs w:val="24"/>
              </w:rPr>
              <w:t>2</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sz w:val="24"/>
                <w:szCs w:val="24"/>
              </w:rPr>
            </w:pPr>
            <w:r>
              <w:rPr>
                <w:rFonts w:hint="eastAsia"/>
                <w:sz w:val="24"/>
                <w:szCs w:val="24"/>
              </w:rPr>
              <w:t> </w:t>
            </w:r>
          </w:p>
        </w:tc>
        <w:tc>
          <w:tcPr>
            <w:tcW w:w="522"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pPr>
              <w:rPr>
                <w:sz w:val="24"/>
                <w:szCs w:val="24"/>
              </w:rPr>
            </w:pPr>
            <w:r>
              <w:rPr>
                <w:rFonts w:hint="eastAsia"/>
                <w:sz w:val="24"/>
                <w:szCs w:val="24"/>
              </w:rPr>
              <w:t> </w:t>
            </w:r>
          </w:p>
        </w:tc>
      </w:tr>
      <w:tr>
        <w:tblPrEx>
          <w:tblCellMar>
            <w:top w:w="0" w:type="dxa"/>
            <w:left w:w="0" w:type="dxa"/>
            <w:bottom w:w="0" w:type="dxa"/>
            <w:right w:w="0" w:type="dxa"/>
          </w:tblCellMar>
        </w:tblPrEx>
        <w:trPr>
          <w:trHeight w:val="458" w:hRule="atLeast"/>
          <w:jc w:val="center"/>
        </w:trPr>
        <w:tc>
          <w:tcPr>
            <w:tcW w:w="642" w:type="dxa"/>
            <w:vMerge w:val="continue"/>
            <w:tcBorders>
              <w:top w:val="single" w:color="FFFFFF" w:sz="24" w:space="0"/>
              <w:left w:val="single" w:color="auto" w:sz="12" w:space="0"/>
              <w:bottom w:val="single" w:color="auto" w:sz="8" w:space="0"/>
              <w:right w:val="single" w:color="auto" w:sz="8" w:space="0"/>
            </w:tcBorders>
            <w:vAlign w:val="center"/>
          </w:tcPr>
          <w:p>
            <w:pPr>
              <w:rPr>
                <w:sz w:val="24"/>
                <w:szCs w:val="24"/>
              </w:rPr>
            </w:pPr>
          </w:p>
        </w:tc>
        <w:tc>
          <w:tcPr>
            <w:tcW w:w="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sz w:val="24"/>
                <w:szCs w:val="24"/>
              </w:rPr>
            </w:pPr>
            <w:r>
              <w:rPr>
                <w:rFonts w:hint="eastAsia"/>
                <w:sz w:val="24"/>
                <w:szCs w:val="24"/>
              </w:rPr>
              <w:t> </w:t>
            </w:r>
          </w:p>
        </w:tc>
        <w:tc>
          <w:tcPr>
            <w:tcW w:w="22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rFonts w:hint="eastAsia"/>
                <w:sz w:val="24"/>
                <w:szCs w:val="24"/>
              </w:rPr>
              <w:t>微格教学训练</w:t>
            </w:r>
          </w:p>
        </w:tc>
        <w:tc>
          <w:tcPr>
            <w:tcW w:w="6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sz w:val="24"/>
                <w:szCs w:val="24"/>
              </w:rPr>
              <w:t>64</w:t>
            </w: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sz w:val="24"/>
                <w:szCs w:val="24"/>
              </w:rPr>
              <w:t>4</w:t>
            </w:r>
          </w:p>
        </w:tc>
        <w:tc>
          <w:tcPr>
            <w:tcW w:w="45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sz w:val="24"/>
                <w:szCs w:val="24"/>
              </w:rPr>
            </w:pPr>
            <w:r>
              <w:rPr>
                <w:rFonts w:hint="eastAsia"/>
                <w:sz w:val="24"/>
                <w:szCs w:val="24"/>
              </w:rPr>
              <w:t> </w:t>
            </w:r>
          </w:p>
        </w:tc>
        <w:tc>
          <w:tcPr>
            <w:tcW w:w="50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sz w:val="24"/>
                <w:szCs w:val="24"/>
              </w:rPr>
            </w:pPr>
            <w:r>
              <w:rPr>
                <w:sz w:val="24"/>
                <w:szCs w:val="24"/>
              </w:rPr>
              <w:t> </w:t>
            </w:r>
          </w:p>
        </w:tc>
        <w:tc>
          <w:tcPr>
            <w:tcW w:w="4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sz w:val="24"/>
                <w:szCs w:val="24"/>
              </w:rPr>
              <w:t> </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sz w:val="24"/>
                <w:szCs w:val="24"/>
              </w:rPr>
              <w:t> </w:t>
            </w: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sz w:val="24"/>
                <w:szCs w:val="24"/>
              </w:rPr>
              <w:t>4</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sz w:val="24"/>
                <w:szCs w:val="24"/>
              </w:rPr>
              <w:t> </w:t>
            </w:r>
          </w:p>
        </w:tc>
        <w:tc>
          <w:tcPr>
            <w:tcW w:w="522"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pPr>
              <w:rPr>
                <w:sz w:val="24"/>
                <w:szCs w:val="24"/>
              </w:rPr>
            </w:pPr>
            <w:r>
              <w:rPr>
                <w:rFonts w:hint="eastAsia"/>
                <w:sz w:val="24"/>
                <w:szCs w:val="24"/>
              </w:rPr>
              <w:t> </w:t>
            </w:r>
          </w:p>
        </w:tc>
      </w:tr>
      <w:tr>
        <w:tblPrEx>
          <w:tblCellMar>
            <w:top w:w="0" w:type="dxa"/>
            <w:left w:w="0" w:type="dxa"/>
            <w:bottom w:w="0" w:type="dxa"/>
            <w:right w:w="0" w:type="dxa"/>
          </w:tblCellMar>
        </w:tblPrEx>
        <w:trPr>
          <w:trHeight w:val="458" w:hRule="atLeast"/>
          <w:jc w:val="center"/>
        </w:trPr>
        <w:tc>
          <w:tcPr>
            <w:tcW w:w="642" w:type="dxa"/>
            <w:vMerge w:val="continue"/>
            <w:tcBorders>
              <w:top w:val="single" w:color="FFFFFF" w:sz="24" w:space="0"/>
              <w:left w:val="single" w:color="auto" w:sz="12" w:space="0"/>
              <w:bottom w:val="single" w:color="auto" w:sz="8" w:space="0"/>
              <w:right w:val="single" w:color="auto" w:sz="8" w:space="0"/>
            </w:tcBorders>
            <w:vAlign w:val="center"/>
          </w:tcPr>
          <w:p>
            <w:pPr>
              <w:rPr>
                <w:sz w:val="24"/>
                <w:szCs w:val="24"/>
              </w:rPr>
            </w:pPr>
          </w:p>
        </w:tc>
        <w:tc>
          <w:tcPr>
            <w:tcW w:w="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sz w:val="24"/>
                <w:szCs w:val="24"/>
              </w:rPr>
            </w:pPr>
            <w:r>
              <w:rPr>
                <w:rFonts w:hint="eastAsia"/>
                <w:sz w:val="24"/>
                <w:szCs w:val="24"/>
              </w:rPr>
              <w:t> </w:t>
            </w:r>
          </w:p>
        </w:tc>
        <w:tc>
          <w:tcPr>
            <w:tcW w:w="22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rFonts w:hint="eastAsia"/>
                <w:sz w:val="24"/>
                <w:szCs w:val="24"/>
              </w:rPr>
              <w:t>名师导训</w:t>
            </w:r>
          </w:p>
        </w:tc>
        <w:tc>
          <w:tcPr>
            <w:tcW w:w="6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sz w:val="24"/>
                <w:szCs w:val="24"/>
              </w:rPr>
              <w:t>32</w:t>
            </w: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sz w:val="24"/>
                <w:szCs w:val="24"/>
              </w:rPr>
              <w:t>2</w:t>
            </w:r>
          </w:p>
        </w:tc>
        <w:tc>
          <w:tcPr>
            <w:tcW w:w="45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sz w:val="24"/>
                <w:szCs w:val="24"/>
              </w:rPr>
            </w:pPr>
            <w:r>
              <w:rPr>
                <w:rFonts w:hint="eastAsia"/>
                <w:sz w:val="24"/>
                <w:szCs w:val="24"/>
              </w:rPr>
              <w:t> </w:t>
            </w:r>
          </w:p>
        </w:tc>
        <w:tc>
          <w:tcPr>
            <w:tcW w:w="50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sz w:val="24"/>
                <w:szCs w:val="24"/>
              </w:rPr>
            </w:pPr>
            <w:r>
              <w:rPr>
                <w:sz w:val="24"/>
                <w:szCs w:val="24"/>
              </w:rPr>
              <w:t> </w:t>
            </w:r>
          </w:p>
        </w:tc>
        <w:tc>
          <w:tcPr>
            <w:tcW w:w="4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sz w:val="24"/>
                <w:szCs w:val="24"/>
              </w:rPr>
              <w:t> </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sz w:val="24"/>
                <w:szCs w:val="24"/>
              </w:rPr>
              <w:t> </w:t>
            </w: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sz w:val="24"/>
                <w:szCs w:val="24"/>
              </w:rPr>
              <w:t>2</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sz w:val="24"/>
                <w:szCs w:val="24"/>
              </w:rPr>
              <w:t> </w:t>
            </w:r>
          </w:p>
        </w:tc>
        <w:tc>
          <w:tcPr>
            <w:tcW w:w="522"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pPr>
              <w:rPr>
                <w:sz w:val="24"/>
                <w:szCs w:val="24"/>
              </w:rPr>
            </w:pPr>
            <w:r>
              <w:rPr>
                <w:rFonts w:hint="eastAsia"/>
                <w:sz w:val="24"/>
                <w:szCs w:val="24"/>
              </w:rPr>
              <w:t> </w:t>
            </w:r>
          </w:p>
        </w:tc>
      </w:tr>
      <w:tr>
        <w:tblPrEx>
          <w:tblCellMar>
            <w:top w:w="0" w:type="dxa"/>
            <w:left w:w="0" w:type="dxa"/>
            <w:bottom w:w="0" w:type="dxa"/>
            <w:right w:w="0" w:type="dxa"/>
          </w:tblCellMar>
        </w:tblPrEx>
        <w:trPr>
          <w:trHeight w:val="458" w:hRule="atLeast"/>
          <w:jc w:val="center"/>
        </w:trPr>
        <w:tc>
          <w:tcPr>
            <w:tcW w:w="642" w:type="dxa"/>
            <w:vMerge w:val="continue"/>
            <w:tcBorders>
              <w:top w:val="single" w:color="FFFFFF" w:sz="24" w:space="0"/>
              <w:left w:val="single" w:color="auto" w:sz="12" w:space="0"/>
              <w:bottom w:val="single" w:color="auto" w:sz="8" w:space="0"/>
              <w:right w:val="single" w:color="auto" w:sz="8" w:space="0"/>
            </w:tcBorders>
            <w:vAlign w:val="center"/>
          </w:tcPr>
          <w:p>
            <w:pPr>
              <w:rPr>
                <w:sz w:val="24"/>
                <w:szCs w:val="24"/>
              </w:rPr>
            </w:pPr>
          </w:p>
        </w:tc>
        <w:tc>
          <w:tcPr>
            <w:tcW w:w="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sz w:val="24"/>
                <w:szCs w:val="24"/>
              </w:rPr>
            </w:pPr>
            <w:r>
              <w:rPr>
                <w:rFonts w:hint="eastAsia"/>
                <w:sz w:val="24"/>
                <w:szCs w:val="24"/>
              </w:rPr>
              <w:t> </w:t>
            </w:r>
          </w:p>
        </w:tc>
        <w:tc>
          <w:tcPr>
            <w:tcW w:w="22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rFonts w:hint="eastAsia"/>
                <w:sz w:val="24"/>
                <w:szCs w:val="24"/>
              </w:rPr>
              <w:t>教学工作能力训练</w:t>
            </w:r>
          </w:p>
        </w:tc>
        <w:tc>
          <w:tcPr>
            <w:tcW w:w="6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sz w:val="24"/>
                <w:szCs w:val="24"/>
              </w:rPr>
              <w:t>32</w:t>
            </w: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sz w:val="24"/>
                <w:szCs w:val="24"/>
              </w:rPr>
              <w:t>2</w:t>
            </w:r>
          </w:p>
        </w:tc>
        <w:tc>
          <w:tcPr>
            <w:tcW w:w="45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sz w:val="24"/>
                <w:szCs w:val="24"/>
              </w:rPr>
            </w:pPr>
            <w:r>
              <w:rPr>
                <w:rFonts w:hint="eastAsia"/>
                <w:sz w:val="24"/>
                <w:szCs w:val="24"/>
              </w:rPr>
              <w:t> </w:t>
            </w:r>
          </w:p>
        </w:tc>
        <w:tc>
          <w:tcPr>
            <w:tcW w:w="50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sz w:val="24"/>
                <w:szCs w:val="24"/>
              </w:rPr>
            </w:pPr>
            <w:r>
              <w:rPr>
                <w:sz w:val="24"/>
                <w:szCs w:val="24"/>
              </w:rPr>
              <w:t> </w:t>
            </w:r>
          </w:p>
        </w:tc>
        <w:tc>
          <w:tcPr>
            <w:tcW w:w="4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sz w:val="24"/>
                <w:szCs w:val="24"/>
              </w:rPr>
              <w:t> </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sz w:val="24"/>
                <w:szCs w:val="24"/>
              </w:rPr>
              <w:t> </w:t>
            </w: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sz w:val="24"/>
                <w:szCs w:val="24"/>
              </w:rPr>
              <w:t>2</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sz w:val="24"/>
                <w:szCs w:val="24"/>
              </w:rPr>
              <w:t> </w:t>
            </w:r>
          </w:p>
        </w:tc>
        <w:tc>
          <w:tcPr>
            <w:tcW w:w="522"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pPr>
              <w:rPr>
                <w:sz w:val="24"/>
                <w:szCs w:val="24"/>
              </w:rPr>
            </w:pPr>
            <w:r>
              <w:rPr>
                <w:rFonts w:hint="eastAsia"/>
                <w:sz w:val="24"/>
                <w:szCs w:val="24"/>
              </w:rPr>
              <w:t> </w:t>
            </w:r>
          </w:p>
        </w:tc>
      </w:tr>
      <w:tr>
        <w:tblPrEx>
          <w:tblCellMar>
            <w:top w:w="0" w:type="dxa"/>
            <w:left w:w="0" w:type="dxa"/>
            <w:bottom w:w="0" w:type="dxa"/>
            <w:right w:w="0" w:type="dxa"/>
          </w:tblCellMar>
        </w:tblPrEx>
        <w:trPr>
          <w:trHeight w:val="458" w:hRule="atLeast"/>
          <w:jc w:val="center"/>
        </w:trPr>
        <w:tc>
          <w:tcPr>
            <w:tcW w:w="642" w:type="dxa"/>
            <w:vMerge w:val="continue"/>
            <w:tcBorders>
              <w:top w:val="single" w:color="FFFFFF" w:sz="24" w:space="0"/>
              <w:left w:val="single" w:color="auto" w:sz="12" w:space="0"/>
              <w:bottom w:val="single" w:color="auto" w:sz="8" w:space="0"/>
              <w:right w:val="single" w:color="auto" w:sz="8" w:space="0"/>
            </w:tcBorders>
            <w:vAlign w:val="center"/>
          </w:tcPr>
          <w:p>
            <w:pPr>
              <w:rPr>
                <w:sz w:val="24"/>
                <w:szCs w:val="24"/>
              </w:rPr>
            </w:pPr>
          </w:p>
        </w:tc>
        <w:tc>
          <w:tcPr>
            <w:tcW w:w="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sz w:val="24"/>
                <w:szCs w:val="24"/>
              </w:rPr>
            </w:pPr>
            <w:r>
              <w:rPr>
                <w:rFonts w:hint="eastAsia"/>
                <w:sz w:val="24"/>
                <w:szCs w:val="24"/>
              </w:rPr>
              <w:t> </w:t>
            </w:r>
          </w:p>
        </w:tc>
        <w:tc>
          <w:tcPr>
            <w:tcW w:w="22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rFonts w:hint="eastAsia"/>
                <w:sz w:val="24"/>
                <w:szCs w:val="24"/>
              </w:rPr>
              <w:t>就业指导</w:t>
            </w:r>
          </w:p>
        </w:tc>
        <w:tc>
          <w:tcPr>
            <w:tcW w:w="6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sz w:val="24"/>
                <w:szCs w:val="24"/>
              </w:rPr>
              <w:t>32</w:t>
            </w: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sz w:val="24"/>
                <w:szCs w:val="24"/>
              </w:rPr>
              <w:t>2</w:t>
            </w:r>
          </w:p>
        </w:tc>
        <w:tc>
          <w:tcPr>
            <w:tcW w:w="45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sz w:val="24"/>
                <w:szCs w:val="24"/>
              </w:rPr>
            </w:pPr>
            <w:r>
              <w:rPr>
                <w:rFonts w:hint="eastAsia"/>
                <w:sz w:val="24"/>
                <w:szCs w:val="24"/>
              </w:rPr>
              <w:t> </w:t>
            </w:r>
          </w:p>
        </w:tc>
        <w:tc>
          <w:tcPr>
            <w:tcW w:w="50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sz w:val="24"/>
                <w:szCs w:val="24"/>
              </w:rPr>
            </w:pPr>
            <w:r>
              <w:rPr>
                <w:sz w:val="24"/>
                <w:szCs w:val="24"/>
              </w:rPr>
              <w:t> </w:t>
            </w:r>
          </w:p>
        </w:tc>
        <w:tc>
          <w:tcPr>
            <w:tcW w:w="4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sz w:val="24"/>
                <w:szCs w:val="24"/>
              </w:rPr>
              <w:t> </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sz w:val="24"/>
                <w:szCs w:val="24"/>
              </w:rPr>
              <w:t> </w:t>
            </w: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sz w:val="24"/>
                <w:szCs w:val="24"/>
              </w:rPr>
              <w:t>2</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sz w:val="24"/>
                <w:szCs w:val="24"/>
              </w:rPr>
              <w:t> </w:t>
            </w:r>
          </w:p>
        </w:tc>
        <w:tc>
          <w:tcPr>
            <w:tcW w:w="522"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pPr>
              <w:rPr>
                <w:sz w:val="24"/>
                <w:szCs w:val="24"/>
              </w:rPr>
            </w:pPr>
            <w:r>
              <w:rPr>
                <w:rFonts w:hint="eastAsia"/>
                <w:sz w:val="24"/>
                <w:szCs w:val="24"/>
              </w:rPr>
              <w:t> </w:t>
            </w:r>
          </w:p>
        </w:tc>
      </w:tr>
      <w:tr>
        <w:tblPrEx>
          <w:tblCellMar>
            <w:top w:w="0" w:type="dxa"/>
            <w:left w:w="0" w:type="dxa"/>
            <w:bottom w:w="0" w:type="dxa"/>
            <w:right w:w="0" w:type="dxa"/>
          </w:tblCellMar>
        </w:tblPrEx>
        <w:trPr>
          <w:trHeight w:val="3516" w:hRule="atLeast"/>
          <w:jc w:val="center"/>
        </w:trPr>
        <w:tc>
          <w:tcPr>
            <w:tcW w:w="642" w:type="dxa"/>
            <w:tcBorders>
              <w:top w:val="nil"/>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rFonts w:hint="eastAsia"/>
                <w:sz w:val="24"/>
                <w:szCs w:val="24"/>
              </w:rPr>
              <w:t>实践</w:t>
            </w:r>
          </w:p>
        </w:tc>
        <w:tc>
          <w:tcPr>
            <w:tcW w:w="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sz w:val="24"/>
                <w:szCs w:val="24"/>
              </w:rPr>
            </w:pPr>
            <w:r>
              <w:rPr>
                <w:rFonts w:hint="eastAsia"/>
                <w:sz w:val="24"/>
                <w:szCs w:val="24"/>
              </w:rPr>
              <w:t> </w:t>
            </w:r>
          </w:p>
        </w:tc>
        <w:tc>
          <w:tcPr>
            <w:tcW w:w="22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rFonts w:hint="eastAsia"/>
                <w:sz w:val="24"/>
                <w:szCs w:val="24"/>
              </w:rPr>
              <w:t>见习、实习</w:t>
            </w:r>
          </w:p>
        </w:tc>
        <w:tc>
          <w:tcPr>
            <w:tcW w:w="6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sz w:val="24"/>
                <w:szCs w:val="24"/>
              </w:rPr>
              <w:t>588</w:t>
            </w: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rFonts w:hint="eastAsia"/>
                <w:sz w:val="24"/>
                <w:szCs w:val="24"/>
              </w:rPr>
              <w:t>28</w:t>
            </w:r>
          </w:p>
        </w:tc>
        <w:tc>
          <w:tcPr>
            <w:tcW w:w="45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sz w:val="24"/>
                <w:szCs w:val="24"/>
              </w:rPr>
            </w:pPr>
            <w:r>
              <w:rPr>
                <w:rFonts w:hint="eastAsia"/>
                <w:sz w:val="24"/>
                <w:szCs w:val="24"/>
              </w:rPr>
              <w:t>见习一周</w:t>
            </w:r>
          </w:p>
        </w:tc>
        <w:tc>
          <w:tcPr>
            <w:tcW w:w="50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sz w:val="24"/>
                <w:szCs w:val="24"/>
              </w:rPr>
            </w:pPr>
            <w:r>
              <w:rPr>
                <w:rFonts w:hint="eastAsia"/>
                <w:sz w:val="24"/>
                <w:szCs w:val="24"/>
              </w:rPr>
              <w:t>见习一周</w:t>
            </w:r>
          </w:p>
        </w:tc>
        <w:tc>
          <w:tcPr>
            <w:tcW w:w="45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sz w:val="24"/>
                <w:szCs w:val="24"/>
              </w:rPr>
            </w:pPr>
            <w:r>
              <w:rPr>
                <w:rFonts w:hint="eastAsia"/>
                <w:sz w:val="24"/>
                <w:szCs w:val="24"/>
              </w:rPr>
              <w:t>见习一周</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rFonts w:hint="eastAsia"/>
                <w:sz w:val="24"/>
                <w:szCs w:val="24"/>
              </w:rPr>
              <w:t>见习一周</w:t>
            </w: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rFonts w:hint="eastAsia"/>
                <w:sz w:val="24"/>
                <w:szCs w:val="24"/>
              </w:rPr>
              <w:t> </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sz w:val="24"/>
                <w:szCs w:val="24"/>
              </w:rPr>
            </w:pPr>
            <w:r>
              <w:rPr>
                <w:rFonts w:hint="eastAsia"/>
                <w:sz w:val="24"/>
                <w:szCs w:val="24"/>
              </w:rPr>
              <w:t>16周</w:t>
            </w:r>
          </w:p>
        </w:tc>
        <w:tc>
          <w:tcPr>
            <w:tcW w:w="522" w:type="dxa"/>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pPr>
              <w:rPr>
                <w:sz w:val="24"/>
                <w:szCs w:val="24"/>
              </w:rPr>
            </w:pPr>
          </w:p>
          <w:p>
            <w:pPr>
              <w:rPr>
                <w:sz w:val="24"/>
                <w:szCs w:val="24"/>
              </w:rPr>
            </w:pPr>
            <w:r>
              <w:rPr>
                <w:rFonts w:hint="eastAsia"/>
                <w:sz w:val="24"/>
                <w:szCs w:val="24"/>
              </w:rPr>
              <w:t>军训</w:t>
            </w:r>
          </w:p>
          <w:p>
            <w:pPr>
              <w:rPr>
                <w:sz w:val="24"/>
                <w:szCs w:val="24"/>
              </w:rPr>
            </w:pPr>
            <w:r>
              <w:rPr>
                <w:rFonts w:hint="eastAsia"/>
                <w:sz w:val="24"/>
                <w:szCs w:val="24"/>
              </w:rPr>
              <w:t>一周</w:t>
            </w:r>
          </w:p>
        </w:tc>
      </w:tr>
      <w:tr>
        <w:tblPrEx>
          <w:tblCellMar>
            <w:top w:w="0" w:type="dxa"/>
            <w:left w:w="0" w:type="dxa"/>
            <w:bottom w:w="0" w:type="dxa"/>
            <w:right w:w="0" w:type="dxa"/>
          </w:tblCellMar>
        </w:tblPrEx>
        <w:trPr>
          <w:trHeight w:val="458" w:hRule="atLeast"/>
          <w:jc w:val="center"/>
        </w:trPr>
        <w:tc>
          <w:tcPr>
            <w:tcW w:w="642" w:type="dxa"/>
            <w:tcBorders>
              <w:top w:val="nil"/>
              <w:left w:val="single" w:color="auto" w:sz="12" w:space="0"/>
              <w:bottom w:val="single" w:color="auto" w:sz="12" w:space="0"/>
              <w:right w:val="single" w:color="auto" w:sz="8" w:space="0"/>
            </w:tcBorders>
            <w:shd w:val="clear" w:color="auto" w:fill="auto"/>
            <w:tcMar>
              <w:top w:w="0" w:type="dxa"/>
              <w:left w:w="108" w:type="dxa"/>
              <w:bottom w:w="0" w:type="dxa"/>
              <w:right w:w="108" w:type="dxa"/>
            </w:tcMar>
            <w:vAlign w:val="center"/>
          </w:tcPr>
          <w:p>
            <w:pPr>
              <w:rPr>
                <w:sz w:val="24"/>
                <w:szCs w:val="24"/>
              </w:rPr>
            </w:pPr>
            <w:r>
              <w:rPr>
                <w:rFonts w:hint="eastAsia"/>
                <w:sz w:val="24"/>
                <w:szCs w:val="24"/>
              </w:rPr>
              <w:t>合计</w:t>
            </w:r>
          </w:p>
        </w:tc>
        <w:tc>
          <w:tcPr>
            <w:tcW w:w="780" w:type="dxa"/>
            <w:tcBorders>
              <w:top w:val="nil"/>
              <w:left w:val="nil"/>
              <w:bottom w:val="single" w:color="auto" w:sz="12" w:space="0"/>
              <w:right w:val="single" w:color="auto" w:sz="8" w:space="0"/>
            </w:tcBorders>
            <w:shd w:val="clear" w:color="auto" w:fill="auto"/>
            <w:tcMar>
              <w:top w:w="0" w:type="dxa"/>
              <w:left w:w="108" w:type="dxa"/>
              <w:bottom w:w="0" w:type="dxa"/>
              <w:right w:w="108" w:type="dxa"/>
            </w:tcMar>
          </w:tcPr>
          <w:p>
            <w:pPr>
              <w:rPr>
                <w:sz w:val="24"/>
                <w:szCs w:val="24"/>
              </w:rPr>
            </w:pPr>
            <w:r>
              <w:rPr>
                <w:rFonts w:hint="eastAsia"/>
                <w:sz w:val="24"/>
                <w:szCs w:val="24"/>
              </w:rPr>
              <w:t> </w:t>
            </w:r>
          </w:p>
        </w:tc>
        <w:tc>
          <w:tcPr>
            <w:tcW w:w="2230" w:type="dxa"/>
            <w:tcBorders>
              <w:top w:val="nil"/>
              <w:left w:val="nil"/>
              <w:bottom w:val="single" w:color="auto" w:sz="12" w:space="0"/>
              <w:right w:val="single" w:color="auto" w:sz="8" w:space="0"/>
            </w:tcBorders>
            <w:shd w:val="clear" w:color="auto" w:fill="auto"/>
            <w:tcMar>
              <w:top w:w="0" w:type="dxa"/>
              <w:left w:w="108" w:type="dxa"/>
              <w:bottom w:w="0" w:type="dxa"/>
              <w:right w:w="108" w:type="dxa"/>
            </w:tcMar>
            <w:vAlign w:val="center"/>
          </w:tcPr>
          <w:p>
            <w:pPr>
              <w:rPr>
                <w:sz w:val="24"/>
                <w:szCs w:val="24"/>
              </w:rPr>
            </w:pPr>
            <w:r>
              <w:rPr>
                <w:rFonts w:hint="eastAsia"/>
                <w:sz w:val="24"/>
                <w:szCs w:val="24"/>
              </w:rPr>
              <w:t> </w:t>
            </w:r>
          </w:p>
        </w:tc>
        <w:tc>
          <w:tcPr>
            <w:tcW w:w="633" w:type="dxa"/>
            <w:tcBorders>
              <w:top w:val="nil"/>
              <w:left w:val="nil"/>
              <w:bottom w:val="single" w:color="auto" w:sz="12" w:space="0"/>
              <w:right w:val="single" w:color="auto" w:sz="8" w:space="0"/>
            </w:tcBorders>
            <w:shd w:val="clear" w:color="auto" w:fill="auto"/>
            <w:tcMar>
              <w:top w:w="0" w:type="dxa"/>
              <w:left w:w="108" w:type="dxa"/>
              <w:bottom w:w="0" w:type="dxa"/>
              <w:right w:w="108" w:type="dxa"/>
            </w:tcMar>
            <w:vAlign w:val="center"/>
          </w:tcPr>
          <w:p>
            <w:pPr>
              <w:rPr>
                <w:sz w:val="24"/>
                <w:szCs w:val="24"/>
              </w:rPr>
            </w:pPr>
            <w:r>
              <w:rPr>
                <w:sz w:val="24"/>
                <w:szCs w:val="24"/>
              </w:rPr>
              <w:t>908</w:t>
            </w:r>
          </w:p>
        </w:tc>
        <w:tc>
          <w:tcPr>
            <w:tcW w:w="483" w:type="dxa"/>
            <w:tcBorders>
              <w:top w:val="nil"/>
              <w:left w:val="nil"/>
              <w:bottom w:val="single" w:color="auto" w:sz="12" w:space="0"/>
              <w:right w:val="single" w:color="auto" w:sz="8" w:space="0"/>
            </w:tcBorders>
            <w:shd w:val="clear" w:color="auto" w:fill="auto"/>
            <w:tcMar>
              <w:top w:w="0" w:type="dxa"/>
              <w:left w:w="108" w:type="dxa"/>
              <w:bottom w:w="0" w:type="dxa"/>
              <w:right w:w="108" w:type="dxa"/>
            </w:tcMar>
            <w:vAlign w:val="center"/>
          </w:tcPr>
          <w:p>
            <w:pPr>
              <w:rPr>
                <w:sz w:val="24"/>
                <w:szCs w:val="24"/>
              </w:rPr>
            </w:pPr>
            <w:r>
              <w:rPr>
                <w:rFonts w:hint="eastAsia"/>
                <w:sz w:val="24"/>
                <w:szCs w:val="24"/>
              </w:rPr>
              <w:t>48</w:t>
            </w:r>
          </w:p>
        </w:tc>
        <w:tc>
          <w:tcPr>
            <w:tcW w:w="456" w:type="dxa"/>
            <w:tcBorders>
              <w:top w:val="nil"/>
              <w:left w:val="nil"/>
              <w:bottom w:val="single" w:color="auto" w:sz="12" w:space="0"/>
              <w:right w:val="single" w:color="auto" w:sz="8" w:space="0"/>
            </w:tcBorders>
            <w:shd w:val="clear" w:color="auto" w:fill="auto"/>
            <w:tcMar>
              <w:top w:w="0" w:type="dxa"/>
              <w:left w:w="108" w:type="dxa"/>
              <w:bottom w:w="0" w:type="dxa"/>
              <w:right w:w="108" w:type="dxa"/>
            </w:tcMar>
          </w:tcPr>
          <w:p>
            <w:pPr>
              <w:rPr>
                <w:sz w:val="24"/>
                <w:szCs w:val="24"/>
              </w:rPr>
            </w:pPr>
            <w:r>
              <w:rPr>
                <w:rFonts w:hint="eastAsia"/>
                <w:sz w:val="24"/>
                <w:szCs w:val="24"/>
              </w:rPr>
              <w:t> </w:t>
            </w:r>
          </w:p>
        </w:tc>
        <w:tc>
          <w:tcPr>
            <w:tcW w:w="502" w:type="dxa"/>
            <w:tcBorders>
              <w:top w:val="nil"/>
              <w:left w:val="nil"/>
              <w:bottom w:val="single" w:color="auto" w:sz="12" w:space="0"/>
              <w:right w:val="single" w:color="auto" w:sz="8" w:space="0"/>
            </w:tcBorders>
            <w:shd w:val="clear" w:color="auto" w:fill="auto"/>
            <w:tcMar>
              <w:top w:w="0" w:type="dxa"/>
              <w:left w:w="108" w:type="dxa"/>
              <w:bottom w:w="0" w:type="dxa"/>
              <w:right w:w="108" w:type="dxa"/>
            </w:tcMar>
          </w:tcPr>
          <w:p>
            <w:pPr>
              <w:rPr>
                <w:sz w:val="24"/>
                <w:szCs w:val="24"/>
              </w:rPr>
            </w:pPr>
            <w:r>
              <w:rPr>
                <w:rFonts w:hint="eastAsia"/>
                <w:sz w:val="24"/>
                <w:szCs w:val="24"/>
              </w:rPr>
              <w:t> </w:t>
            </w:r>
          </w:p>
        </w:tc>
        <w:tc>
          <w:tcPr>
            <w:tcW w:w="456" w:type="dxa"/>
            <w:tcBorders>
              <w:top w:val="nil"/>
              <w:left w:val="nil"/>
              <w:bottom w:val="single" w:color="auto" w:sz="12" w:space="0"/>
              <w:right w:val="single" w:color="auto" w:sz="8" w:space="0"/>
            </w:tcBorders>
            <w:shd w:val="clear" w:color="auto" w:fill="auto"/>
            <w:tcMar>
              <w:top w:w="0" w:type="dxa"/>
              <w:left w:w="108" w:type="dxa"/>
              <w:bottom w:w="0" w:type="dxa"/>
              <w:right w:w="108" w:type="dxa"/>
            </w:tcMar>
          </w:tcPr>
          <w:p>
            <w:pPr>
              <w:rPr>
                <w:sz w:val="24"/>
                <w:szCs w:val="24"/>
              </w:rPr>
            </w:pPr>
            <w:r>
              <w:rPr>
                <w:rFonts w:hint="eastAsia"/>
                <w:sz w:val="24"/>
                <w:szCs w:val="24"/>
              </w:rPr>
              <w:t> </w:t>
            </w:r>
          </w:p>
        </w:tc>
        <w:tc>
          <w:tcPr>
            <w:tcW w:w="477" w:type="dxa"/>
            <w:tcBorders>
              <w:top w:val="nil"/>
              <w:left w:val="nil"/>
              <w:bottom w:val="single" w:color="auto" w:sz="12" w:space="0"/>
              <w:right w:val="single" w:color="auto" w:sz="8" w:space="0"/>
            </w:tcBorders>
            <w:shd w:val="clear" w:color="auto" w:fill="auto"/>
            <w:tcMar>
              <w:top w:w="0" w:type="dxa"/>
              <w:left w:w="108" w:type="dxa"/>
              <w:bottom w:w="0" w:type="dxa"/>
              <w:right w:w="108" w:type="dxa"/>
            </w:tcMar>
            <w:vAlign w:val="center"/>
          </w:tcPr>
          <w:p>
            <w:pPr>
              <w:rPr>
                <w:sz w:val="24"/>
                <w:szCs w:val="24"/>
              </w:rPr>
            </w:pPr>
            <w:r>
              <w:rPr>
                <w:rFonts w:hint="eastAsia"/>
                <w:sz w:val="24"/>
                <w:szCs w:val="24"/>
              </w:rPr>
              <w:t> </w:t>
            </w:r>
          </w:p>
        </w:tc>
        <w:tc>
          <w:tcPr>
            <w:tcW w:w="483" w:type="dxa"/>
            <w:tcBorders>
              <w:top w:val="nil"/>
              <w:left w:val="nil"/>
              <w:bottom w:val="single" w:color="auto" w:sz="12" w:space="0"/>
              <w:right w:val="single" w:color="auto" w:sz="8" w:space="0"/>
            </w:tcBorders>
            <w:shd w:val="clear" w:color="auto" w:fill="auto"/>
            <w:tcMar>
              <w:top w:w="0" w:type="dxa"/>
              <w:left w:w="108" w:type="dxa"/>
              <w:bottom w:w="0" w:type="dxa"/>
              <w:right w:w="108" w:type="dxa"/>
            </w:tcMar>
            <w:vAlign w:val="center"/>
          </w:tcPr>
          <w:p>
            <w:pPr>
              <w:rPr>
                <w:sz w:val="24"/>
                <w:szCs w:val="24"/>
              </w:rPr>
            </w:pPr>
            <w:r>
              <w:rPr>
                <w:rFonts w:hint="eastAsia"/>
                <w:sz w:val="24"/>
                <w:szCs w:val="24"/>
              </w:rPr>
              <w:t>20</w:t>
            </w:r>
          </w:p>
        </w:tc>
        <w:tc>
          <w:tcPr>
            <w:tcW w:w="688" w:type="dxa"/>
            <w:tcBorders>
              <w:top w:val="nil"/>
              <w:left w:val="nil"/>
              <w:bottom w:val="single" w:color="auto" w:sz="12" w:space="0"/>
              <w:right w:val="single" w:color="auto" w:sz="8" w:space="0"/>
            </w:tcBorders>
            <w:shd w:val="clear" w:color="auto" w:fill="auto"/>
            <w:tcMar>
              <w:top w:w="0" w:type="dxa"/>
              <w:left w:w="108" w:type="dxa"/>
              <w:bottom w:w="0" w:type="dxa"/>
              <w:right w:w="108" w:type="dxa"/>
            </w:tcMar>
            <w:vAlign w:val="center"/>
          </w:tcPr>
          <w:p>
            <w:pPr>
              <w:rPr>
                <w:sz w:val="24"/>
                <w:szCs w:val="24"/>
              </w:rPr>
            </w:pPr>
            <w:r>
              <w:rPr>
                <w:rFonts w:hint="eastAsia"/>
                <w:sz w:val="24"/>
                <w:szCs w:val="24"/>
              </w:rPr>
              <w:t> </w:t>
            </w:r>
          </w:p>
        </w:tc>
        <w:tc>
          <w:tcPr>
            <w:tcW w:w="522" w:type="dxa"/>
            <w:tcBorders>
              <w:top w:val="nil"/>
              <w:left w:val="nil"/>
              <w:bottom w:val="single" w:color="auto" w:sz="12" w:space="0"/>
              <w:right w:val="single" w:color="auto" w:sz="12" w:space="0"/>
            </w:tcBorders>
            <w:shd w:val="clear" w:color="auto" w:fill="auto"/>
            <w:tcMar>
              <w:top w:w="0" w:type="dxa"/>
              <w:left w:w="108" w:type="dxa"/>
              <w:bottom w:w="0" w:type="dxa"/>
              <w:right w:w="108" w:type="dxa"/>
            </w:tcMar>
            <w:vAlign w:val="center"/>
          </w:tcPr>
          <w:p>
            <w:pPr>
              <w:rPr>
                <w:sz w:val="24"/>
                <w:szCs w:val="24"/>
              </w:rPr>
            </w:pPr>
            <w:r>
              <w:rPr>
                <w:rFonts w:hint="eastAsia"/>
                <w:sz w:val="24"/>
                <w:szCs w:val="24"/>
              </w:rPr>
              <w:t> </w:t>
            </w:r>
          </w:p>
        </w:tc>
      </w:tr>
    </w:tbl>
    <w:p>
      <w:pPr>
        <w:spacing w:line="400" w:lineRule="exact"/>
        <w:jc w:val="left"/>
        <w:rPr>
          <w:rFonts w:ascii="黑体" w:hAnsi="Courier New" w:eastAsia="黑体"/>
          <w:bCs/>
          <w:sz w:val="32"/>
          <w:szCs w:val="32"/>
        </w:rPr>
      </w:pPr>
    </w:p>
    <w:p>
      <w:pPr>
        <w:pStyle w:val="5"/>
        <w:spacing w:line="560" w:lineRule="exact"/>
        <w:jc w:val="left"/>
        <w:rPr>
          <w:rFonts w:ascii="黑体" w:hAnsi="黑体" w:eastAsia="黑体" w:cs="黑体"/>
          <w:b/>
          <w:bCs/>
          <w:kern w:val="0"/>
          <w:sz w:val="32"/>
          <w:szCs w:val="32"/>
        </w:rPr>
      </w:pPr>
      <w:r>
        <w:rPr>
          <w:rFonts w:hint="eastAsia" w:ascii="黑体" w:hAnsi="黑体" w:eastAsia="黑体" w:cs="黑体"/>
          <w:b/>
          <w:bCs/>
          <w:sz w:val="32"/>
          <w:szCs w:val="32"/>
        </w:rPr>
        <w:t>九、</w:t>
      </w:r>
      <w:r>
        <w:rPr>
          <w:rFonts w:hint="eastAsia" w:ascii="黑体" w:hAnsi="黑体" w:eastAsia="黑体" w:cs="黑体"/>
          <w:b/>
          <w:bCs/>
          <w:kern w:val="0"/>
          <w:sz w:val="32"/>
          <w:szCs w:val="32"/>
        </w:rPr>
        <w:t>实施保障</w:t>
      </w:r>
    </w:p>
    <w:p>
      <w:pPr>
        <w:overflowPunct w:val="0"/>
        <w:adjustRightInd w:val="0"/>
        <w:ind w:firstLine="640" w:firstLineChars="200"/>
        <w:outlineLvl w:val="0"/>
        <w:rPr>
          <w:rFonts w:eastAsia="楷体_GB2312"/>
          <w:b w:val="0"/>
          <w:bCs/>
          <w:szCs w:val="32"/>
        </w:rPr>
      </w:pPr>
      <w:r>
        <w:rPr>
          <w:rFonts w:eastAsia="楷体_GB2312"/>
          <w:b w:val="0"/>
          <w:bCs/>
          <w:sz w:val="32"/>
          <w:szCs w:val="32"/>
        </w:rPr>
        <w:t>（一）师资队伍</w:t>
      </w:r>
    </w:p>
    <w:p>
      <w:pPr>
        <w:pStyle w:val="5"/>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（1）师资现状</w:t>
      </w:r>
    </w:p>
    <w:p>
      <w:pPr>
        <w:spacing w:line="560" w:lineRule="exact"/>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学校现有教职工164人，其中,专任教师124人，专业技能教师76人，兼任教师14人。专业技能教师占专任教师比例数为61.29%，高级职称教师53人（含正高级职称教师1人），占专任教师比例42.74%，硕士研究生47人，占专任教师比例37.90%。</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2</w:t>
      </w:r>
      <w:r>
        <w:rPr>
          <w:rFonts w:hint="eastAsia" w:ascii="仿宋_GB2312" w:hAnsi="宋体" w:eastAsia="仿宋_GB2312"/>
          <w:sz w:val="32"/>
          <w:szCs w:val="32"/>
        </w:rPr>
        <w:t>）教科研现状</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学校重视教科研活动，现</w:t>
      </w:r>
      <w:r>
        <w:rPr>
          <w:rFonts w:hint="eastAsia" w:ascii="仿宋_GB2312" w:hAnsi="宋体" w:eastAsia="仿宋_GB2312"/>
          <w:color w:val="000000" w:themeColor="text1"/>
          <w:sz w:val="32"/>
          <w:szCs w:val="32"/>
        </w:rPr>
        <w:t>有</w:t>
      </w:r>
      <w:r>
        <w:rPr>
          <w:rFonts w:hint="eastAsia" w:ascii="仿宋_GB2312" w:hAnsi="宋体" w:eastAsia="仿宋_GB2312"/>
          <w:color w:val="000000"/>
          <w:sz w:val="32"/>
          <w:szCs w:val="32"/>
        </w:rPr>
        <w:t>1项省级教学研究课题，1项省级职业教育与成人教育科研“十二五”规划课题，1项省级教育教学研究改革项目。7项市级教育科研“十三五”规划课题，6项市级教育学会校（微）课题，5项市级教育科学“十二五”规划课题。1项市级第七届教育科研优秀成果一等奖，4项市级第七届教育科研优秀成果二等奖。</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3</w:t>
      </w:r>
      <w:r>
        <w:rPr>
          <w:rFonts w:hint="eastAsia" w:ascii="仿宋_GB2312" w:hAnsi="宋体" w:eastAsia="仿宋_GB2312"/>
          <w:sz w:val="32"/>
          <w:szCs w:val="32"/>
        </w:rPr>
        <w:t>)专业与课程建设</w:t>
      </w:r>
    </w:p>
    <w:p>
      <w:pPr>
        <w:spacing w:line="560" w:lineRule="exact"/>
        <w:ind w:firstLine="640" w:firstLineChars="200"/>
        <w:rPr>
          <w:rFonts w:eastAsia="楷体_GB2312"/>
          <w:b/>
          <w:szCs w:val="32"/>
        </w:rPr>
      </w:pPr>
      <w:r>
        <w:rPr>
          <w:rFonts w:hint="eastAsia" w:ascii="仿宋_GB2312" w:hAnsi="宋体" w:eastAsia="仿宋_GB2312"/>
          <w:sz w:val="32"/>
          <w:szCs w:val="32"/>
        </w:rPr>
        <w:t>现有市级品牌特色专业1个，市级精品课程2门，校本教材3种。</w:t>
      </w:r>
    </w:p>
    <w:p>
      <w:pPr>
        <w:overflowPunct w:val="0"/>
        <w:adjustRightInd w:val="0"/>
        <w:ind w:firstLine="640" w:firstLineChars="200"/>
        <w:outlineLvl w:val="0"/>
        <w:rPr>
          <w:rFonts w:eastAsia="楷体_GB2312"/>
          <w:b w:val="0"/>
          <w:bCs/>
          <w:sz w:val="32"/>
          <w:szCs w:val="32"/>
        </w:rPr>
      </w:pPr>
      <w:r>
        <w:rPr>
          <w:rFonts w:eastAsia="楷体_GB2312"/>
          <w:b w:val="0"/>
          <w:bCs/>
          <w:sz w:val="32"/>
          <w:szCs w:val="32"/>
        </w:rPr>
        <w:t>（二）教学设施</w:t>
      </w:r>
    </w:p>
    <w:p>
      <w:pPr>
        <w:overflowPunct w:val="0"/>
        <w:adjustRightInd w:val="0"/>
        <w:ind w:firstLine="640" w:firstLineChars="200"/>
        <w:outlineLvl w:val="0"/>
        <w:rPr>
          <w:rFonts w:eastAsia="楷体_GB2312"/>
          <w:b w:val="0"/>
          <w:bCs/>
          <w:sz w:val="32"/>
          <w:szCs w:val="32"/>
        </w:rPr>
      </w:pPr>
      <w:r>
        <w:rPr>
          <w:rFonts w:hint="eastAsia" w:eastAsia="楷体_GB2312"/>
          <w:b w:val="0"/>
          <w:bCs/>
          <w:sz w:val="32"/>
          <w:szCs w:val="32"/>
        </w:rPr>
        <w:t>1.校内实训室</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根据人才培养方案，需要建设微格教学、普通话教学等实训室，用以改善实训条件，提升实训项目功能。主要实训室功能分析如下:</w:t>
      </w:r>
    </w:p>
    <w:p>
      <w:pPr>
        <w:pStyle w:val="26"/>
        <w:numPr>
          <w:ilvl w:val="0"/>
          <w:numId w:val="2"/>
        </w:numPr>
        <w:spacing w:line="560" w:lineRule="exact"/>
        <w:ind w:firstLineChars="0"/>
        <w:rPr>
          <w:rFonts w:ascii="仿宋_GB2312" w:hAnsi="宋体" w:eastAsia="仿宋_GB2312"/>
          <w:sz w:val="32"/>
          <w:szCs w:val="32"/>
        </w:rPr>
      </w:pPr>
      <w:r>
        <w:rPr>
          <w:rFonts w:ascii="仿宋_GB2312" w:hAnsi="宋体" w:eastAsia="仿宋_GB2312"/>
          <w:sz w:val="32"/>
          <w:szCs w:val="32"/>
        </w:rPr>
        <w:t>微格实训室</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功能:能客观、全面、及时的反馈评价学生的模拟教学情景，使其自我发现问题、诊断问题、解决问题;帮助教师在课后对学生的模拟教学进行指导、点评;利于教师和学生就课堂模拟教学进行双向交流。目前，微格实训室已成为教师教育专业提高学生教学技能的非常有效的手段和途径。</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适应课程:微格教学</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主要设备装备标准:</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84"/>
        <w:gridCol w:w="1276"/>
        <w:gridCol w:w="1701"/>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overflowPunct w:val="0"/>
              <w:adjustRightInd w:val="0"/>
              <w:outlineLvl w:val="0"/>
              <w:rPr>
                <w:rFonts w:eastAsia="楷体_GB2312"/>
                <w:b w:val="0"/>
                <w:bCs/>
                <w:sz w:val="32"/>
                <w:szCs w:val="32"/>
              </w:rPr>
            </w:pPr>
            <w:r>
              <w:rPr>
                <w:rFonts w:hint="eastAsia" w:eastAsia="楷体_GB2312"/>
                <w:b w:val="0"/>
                <w:bCs/>
                <w:sz w:val="32"/>
                <w:szCs w:val="32"/>
              </w:rPr>
              <w:t>序号</w:t>
            </w:r>
          </w:p>
        </w:tc>
        <w:tc>
          <w:tcPr>
            <w:tcW w:w="1984" w:type="dxa"/>
          </w:tcPr>
          <w:p>
            <w:pPr>
              <w:overflowPunct w:val="0"/>
              <w:adjustRightInd w:val="0"/>
              <w:outlineLvl w:val="0"/>
              <w:rPr>
                <w:rFonts w:eastAsia="楷体_GB2312"/>
                <w:b w:val="0"/>
                <w:bCs/>
                <w:sz w:val="32"/>
                <w:szCs w:val="32"/>
              </w:rPr>
            </w:pPr>
            <w:r>
              <w:rPr>
                <w:rFonts w:hint="eastAsia" w:eastAsia="楷体_GB2312"/>
                <w:b w:val="0"/>
                <w:bCs/>
                <w:sz w:val="32"/>
                <w:szCs w:val="32"/>
              </w:rPr>
              <w:t>设备名称</w:t>
            </w:r>
          </w:p>
        </w:tc>
        <w:tc>
          <w:tcPr>
            <w:tcW w:w="1276" w:type="dxa"/>
          </w:tcPr>
          <w:p>
            <w:pPr>
              <w:overflowPunct w:val="0"/>
              <w:adjustRightInd w:val="0"/>
              <w:outlineLvl w:val="0"/>
              <w:rPr>
                <w:rFonts w:eastAsia="楷体_GB2312"/>
                <w:b w:val="0"/>
                <w:bCs/>
                <w:sz w:val="32"/>
                <w:szCs w:val="32"/>
              </w:rPr>
            </w:pPr>
            <w:r>
              <w:rPr>
                <w:rFonts w:hint="eastAsia" w:eastAsia="楷体_GB2312"/>
                <w:b w:val="0"/>
                <w:bCs/>
                <w:sz w:val="32"/>
                <w:szCs w:val="32"/>
              </w:rPr>
              <w:t>用途</w:t>
            </w:r>
          </w:p>
        </w:tc>
        <w:tc>
          <w:tcPr>
            <w:tcW w:w="1701" w:type="dxa"/>
          </w:tcPr>
          <w:p>
            <w:pPr>
              <w:overflowPunct w:val="0"/>
              <w:adjustRightInd w:val="0"/>
              <w:outlineLvl w:val="0"/>
              <w:rPr>
                <w:rFonts w:eastAsia="楷体_GB2312"/>
                <w:b w:val="0"/>
                <w:bCs/>
                <w:sz w:val="32"/>
                <w:szCs w:val="32"/>
              </w:rPr>
            </w:pPr>
            <w:r>
              <w:rPr>
                <w:rFonts w:hint="eastAsia" w:eastAsia="楷体_GB2312"/>
                <w:b w:val="0"/>
                <w:bCs/>
                <w:sz w:val="32"/>
                <w:szCs w:val="32"/>
              </w:rPr>
              <w:t>单位/数量</w:t>
            </w:r>
          </w:p>
        </w:tc>
        <w:tc>
          <w:tcPr>
            <w:tcW w:w="2602" w:type="dxa"/>
          </w:tcPr>
          <w:p>
            <w:pPr>
              <w:overflowPunct w:val="0"/>
              <w:adjustRightInd w:val="0"/>
              <w:outlineLvl w:val="0"/>
              <w:rPr>
                <w:rFonts w:eastAsia="楷体_GB2312"/>
                <w:b w:val="0"/>
                <w:bCs/>
                <w:sz w:val="32"/>
                <w:szCs w:val="32"/>
              </w:rPr>
            </w:pPr>
            <w:r>
              <w:rPr>
                <w:rFonts w:hint="eastAsia" w:eastAsia="楷体_GB2312"/>
                <w:b w:val="0"/>
                <w:bCs/>
                <w:sz w:val="32"/>
                <w:szCs w:val="32"/>
              </w:rPr>
              <w:t>基本配置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overflowPunct w:val="0"/>
              <w:adjustRightInd w:val="0"/>
              <w:outlineLvl w:val="0"/>
              <w:rPr>
                <w:rFonts w:eastAsia="楷体_GB2312"/>
                <w:b w:val="0"/>
                <w:bCs/>
                <w:sz w:val="32"/>
                <w:szCs w:val="32"/>
              </w:rPr>
            </w:pPr>
            <w:r>
              <w:rPr>
                <w:rFonts w:hint="eastAsia" w:eastAsia="楷体_GB2312"/>
                <w:b w:val="0"/>
                <w:bCs/>
                <w:sz w:val="32"/>
                <w:szCs w:val="32"/>
              </w:rPr>
              <w:t>1</w:t>
            </w:r>
          </w:p>
        </w:tc>
        <w:tc>
          <w:tcPr>
            <w:tcW w:w="1984" w:type="dxa"/>
          </w:tcPr>
          <w:p>
            <w:pPr>
              <w:overflowPunct w:val="0"/>
              <w:adjustRightInd w:val="0"/>
              <w:outlineLvl w:val="0"/>
              <w:rPr>
                <w:rFonts w:eastAsia="楷体_GB2312"/>
                <w:b w:val="0"/>
                <w:bCs/>
                <w:sz w:val="32"/>
                <w:szCs w:val="32"/>
              </w:rPr>
            </w:pPr>
            <w:r>
              <w:rPr>
                <w:rFonts w:hint="eastAsia" w:eastAsia="楷体_GB2312"/>
                <w:b w:val="0"/>
                <w:bCs/>
                <w:sz w:val="32"/>
                <w:szCs w:val="32"/>
              </w:rPr>
              <w:t>摄像机</w:t>
            </w:r>
          </w:p>
        </w:tc>
        <w:tc>
          <w:tcPr>
            <w:tcW w:w="1276" w:type="dxa"/>
            <w:vMerge w:val="restart"/>
          </w:tcPr>
          <w:p>
            <w:pPr>
              <w:overflowPunct w:val="0"/>
              <w:adjustRightInd w:val="0"/>
              <w:outlineLvl w:val="0"/>
              <w:rPr>
                <w:rFonts w:eastAsia="楷体_GB2312"/>
                <w:b w:val="0"/>
                <w:bCs/>
                <w:sz w:val="32"/>
                <w:szCs w:val="32"/>
              </w:rPr>
            </w:pPr>
          </w:p>
          <w:p>
            <w:pPr>
              <w:overflowPunct w:val="0"/>
              <w:adjustRightInd w:val="0"/>
              <w:outlineLvl w:val="0"/>
              <w:rPr>
                <w:rFonts w:eastAsia="楷体_GB2312"/>
                <w:b w:val="0"/>
                <w:bCs/>
                <w:sz w:val="32"/>
                <w:szCs w:val="32"/>
              </w:rPr>
            </w:pPr>
            <w:r>
              <w:rPr>
                <w:rFonts w:hint="eastAsia" w:eastAsia="楷体_GB2312"/>
                <w:b w:val="0"/>
                <w:bCs/>
                <w:sz w:val="32"/>
                <w:szCs w:val="32"/>
              </w:rPr>
              <w:t>录播学生模拟课堂教学</w:t>
            </w:r>
          </w:p>
        </w:tc>
        <w:tc>
          <w:tcPr>
            <w:tcW w:w="1701" w:type="dxa"/>
          </w:tcPr>
          <w:p>
            <w:pPr>
              <w:overflowPunct w:val="0"/>
              <w:adjustRightInd w:val="0"/>
              <w:outlineLvl w:val="0"/>
              <w:rPr>
                <w:rFonts w:eastAsia="楷体_GB2312"/>
                <w:b w:val="0"/>
                <w:bCs/>
                <w:sz w:val="32"/>
                <w:szCs w:val="32"/>
              </w:rPr>
            </w:pPr>
            <w:r>
              <w:rPr>
                <w:rFonts w:hint="eastAsia" w:eastAsia="楷体_GB2312"/>
                <w:b w:val="0"/>
                <w:bCs/>
                <w:sz w:val="32"/>
                <w:szCs w:val="32"/>
              </w:rPr>
              <w:t>4部</w:t>
            </w:r>
          </w:p>
        </w:tc>
        <w:tc>
          <w:tcPr>
            <w:tcW w:w="2602" w:type="dxa"/>
          </w:tcPr>
          <w:p>
            <w:pPr>
              <w:overflowPunct w:val="0"/>
              <w:adjustRightInd w:val="0"/>
              <w:outlineLvl w:val="0"/>
              <w:rPr>
                <w:rFonts w:eastAsia="楷体_GB2312"/>
                <w:b w:val="0"/>
                <w:bCs/>
                <w:sz w:val="32"/>
                <w:szCs w:val="32"/>
              </w:rPr>
            </w:pPr>
            <w:r>
              <w:rPr>
                <w:rFonts w:hint="eastAsia" w:eastAsia="楷体_GB2312"/>
                <w:b w:val="0"/>
                <w:bCs/>
                <w:sz w:val="32"/>
                <w:szCs w:val="32"/>
              </w:rPr>
              <w:t>Sony brc-300p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overflowPunct w:val="0"/>
              <w:adjustRightInd w:val="0"/>
              <w:outlineLvl w:val="0"/>
              <w:rPr>
                <w:rFonts w:eastAsia="楷体_GB2312"/>
                <w:b w:val="0"/>
                <w:bCs/>
                <w:sz w:val="32"/>
                <w:szCs w:val="32"/>
              </w:rPr>
            </w:pPr>
            <w:r>
              <w:rPr>
                <w:rFonts w:hint="eastAsia" w:eastAsia="楷体_GB2312"/>
                <w:b w:val="0"/>
                <w:bCs/>
                <w:sz w:val="32"/>
                <w:szCs w:val="32"/>
              </w:rPr>
              <w:t>2</w:t>
            </w:r>
          </w:p>
        </w:tc>
        <w:tc>
          <w:tcPr>
            <w:tcW w:w="1984" w:type="dxa"/>
          </w:tcPr>
          <w:p>
            <w:pPr>
              <w:overflowPunct w:val="0"/>
              <w:adjustRightInd w:val="0"/>
              <w:outlineLvl w:val="0"/>
              <w:rPr>
                <w:rFonts w:eastAsia="楷体_GB2312"/>
                <w:b w:val="0"/>
                <w:bCs/>
                <w:sz w:val="32"/>
                <w:szCs w:val="32"/>
              </w:rPr>
            </w:pPr>
            <w:r>
              <w:rPr>
                <w:rFonts w:hint="eastAsia" w:eastAsia="楷体_GB2312"/>
                <w:b w:val="0"/>
                <w:bCs/>
                <w:sz w:val="32"/>
                <w:szCs w:val="32"/>
              </w:rPr>
              <w:t>控制面板</w:t>
            </w:r>
          </w:p>
        </w:tc>
        <w:tc>
          <w:tcPr>
            <w:tcW w:w="1276" w:type="dxa"/>
            <w:vMerge w:val="continue"/>
          </w:tcPr>
          <w:p>
            <w:pPr>
              <w:overflowPunct w:val="0"/>
              <w:adjustRightInd w:val="0"/>
              <w:outlineLvl w:val="0"/>
              <w:rPr>
                <w:rFonts w:eastAsia="楷体_GB2312"/>
                <w:b w:val="0"/>
                <w:bCs/>
                <w:sz w:val="32"/>
                <w:szCs w:val="32"/>
              </w:rPr>
            </w:pPr>
          </w:p>
        </w:tc>
        <w:tc>
          <w:tcPr>
            <w:tcW w:w="1701" w:type="dxa"/>
          </w:tcPr>
          <w:p>
            <w:pPr>
              <w:overflowPunct w:val="0"/>
              <w:adjustRightInd w:val="0"/>
              <w:outlineLvl w:val="0"/>
              <w:rPr>
                <w:rFonts w:eastAsia="楷体_GB2312"/>
                <w:b w:val="0"/>
                <w:bCs/>
                <w:sz w:val="32"/>
                <w:szCs w:val="32"/>
              </w:rPr>
            </w:pPr>
            <w:r>
              <w:rPr>
                <w:rFonts w:hint="eastAsia" w:eastAsia="楷体_GB2312"/>
                <w:b w:val="0"/>
                <w:bCs/>
                <w:sz w:val="32"/>
                <w:szCs w:val="32"/>
              </w:rPr>
              <w:t>2台</w:t>
            </w:r>
          </w:p>
        </w:tc>
        <w:tc>
          <w:tcPr>
            <w:tcW w:w="2602" w:type="dxa"/>
          </w:tcPr>
          <w:p>
            <w:pPr>
              <w:overflowPunct w:val="0"/>
              <w:adjustRightInd w:val="0"/>
              <w:outlineLvl w:val="0"/>
              <w:rPr>
                <w:rFonts w:eastAsia="楷体_GB2312"/>
                <w:b w:val="0"/>
                <w:bCs/>
                <w:sz w:val="32"/>
                <w:szCs w:val="32"/>
              </w:rPr>
            </w:pPr>
            <w:r>
              <w:rPr>
                <w:rFonts w:hint="eastAsia" w:eastAsia="楷体_GB2312"/>
                <w:b w:val="0"/>
                <w:bCs/>
                <w:sz w:val="32"/>
                <w:szCs w:val="32"/>
              </w:rPr>
              <w:t>Sony rm-br300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overflowPunct w:val="0"/>
              <w:adjustRightInd w:val="0"/>
              <w:outlineLvl w:val="0"/>
              <w:rPr>
                <w:rFonts w:eastAsia="楷体_GB2312"/>
                <w:b w:val="0"/>
                <w:bCs/>
                <w:sz w:val="32"/>
                <w:szCs w:val="32"/>
              </w:rPr>
            </w:pPr>
            <w:r>
              <w:rPr>
                <w:rFonts w:hint="eastAsia" w:eastAsia="楷体_GB2312"/>
                <w:b w:val="0"/>
                <w:bCs/>
                <w:sz w:val="32"/>
                <w:szCs w:val="32"/>
              </w:rPr>
              <w:t>3</w:t>
            </w:r>
          </w:p>
        </w:tc>
        <w:tc>
          <w:tcPr>
            <w:tcW w:w="1984" w:type="dxa"/>
          </w:tcPr>
          <w:p>
            <w:pPr>
              <w:overflowPunct w:val="0"/>
              <w:adjustRightInd w:val="0"/>
              <w:outlineLvl w:val="0"/>
              <w:rPr>
                <w:rFonts w:eastAsia="楷体_GB2312"/>
                <w:b w:val="0"/>
                <w:bCs/>
                <w:sz w:val="32"/>
                <w:szCs w:val="32"/>
              </w:rPr>
            </w:pPr>
            <w:r>
              <w:rPr>
                <w:rFonts w:hint="eastAsia" w:eastAsia="楷体_GB2312"/>
                <w:b w:val="0"/>
                <w:bCs/>
                <w:sz w:val="32"/>
                <w:szCs w:val="32"/>
              </w:rPr>
              <w:t>音视频特技机</w:t>
            </w:r>
          </w:p>
        </w:tc>
        <w:tc>
          <w:tcPr>
            <w:tcW w:w="1276" w:type="dxa"/>
            <w:vMerge w:val="continue"/>
          </w:tcPr>
          <w:p>
            <w:pPr>
              <w:overflowPunct w:val="0"/>
              <w:adjustRightInd w:val="0"/>
              <w:outlineLvl w:val="0"/>
              <w:rPr>
                <w:rFonts w:eastAsia="楷体_GB2312"/>
                <w:b w:val="0"/>
                <w:bCs/>
                <w:sz w:val="32"/>
                <w:szCs w:val="32"/>
              </w:rPr>
            </w:pPr>
          </w:p>
        </w:tc>
        <w:tc>
          <w:tcPr>
            <w:tcW w:w="1701" w:type="dxa"/>
          </w:tcPr>
          <w:p>
            <w:pPr>
              <w:overflowPunct w:val="0"/>
              <w:adjustRightInd w:val="0"/>
              <w:outlineLvl w:val="0"/>
              <w:rPr>
                <w:rFonts w:eastAsia="楷体_GB2312"/>
                <w:b w:val="0"/>
                <w:bCs/>
                <w:sz w:val="32"/>
                <w:szCs w:val="32"/>
              </w:rPr>
            </w:pPr>
            <w:r>
              <w:rPr>
                <w:rFonts w:hint="eastAsia" w:eastAsia="楷体_GB2312"/>
                <w:b w:val="0"/>
                <w:bCs/>
                <w:sz w:val="32"/>
                <w:szCs w:val="32"/>
              </w:rPr>
              <w:t>5台</w:t>
            </w:r>
          </w:p>
        </w:tc>
        <w:tc>
          <w:tcPr>
            <w:tcW w:w="2602" w:type="dxa"/>
          </w:tcPr>
          <w:p>
            <w:pPr>
              <w:overflowPunct w:val="0"/>
              <w:adjustRightInd w:val="0"/>
              <w:outlineLvl w:val="0"/>
              <w:rPr>
                <w:rFonts w:eastAsia="楷体_GB2312"/>
                <w:b w:val="0"/>
                <w:bCs/>
                <w:sz w:val="32"/>
                <w:szCs w:val="32"/>
              </w:rPr>
            </w:pPr>
            <w:r>
              <w:rPr>
                <w:rFonts w:hint="eastAsia" w:eastAsia="楷体_GB2312"/>
                <w:b w:val="0"/>
                <w:bCs/>
                <w:sz w:val="32"/>
                <w:szCs w:val="32"/>
              </w:rPr>
              <w:t>GMX-90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overflowPunct w:val="0"/>
              <w:adjustRightInd w:val="0"/>
              <w:outlineLvl w:val="0"/>
              <w:rPr>
                <w:rFonts w:eastAsia="楷体_GB2312"/>
                <w:b w:val="0"/>
                <w:bCs/>
                <w:sz w:val="32"/>
                <w:szCs w:val="32"/>
              </w:rPr>
            </w:pPr>
            <w:r>
              <w:rPr>
                <w:rFonts w:hint="eastAsia" w:eastAsia="楷体_GB2312"/>
                <w:b w:val="0"/>
                <w:bCs/>
                <w:sz w:val="32"/>
                <w:szCs w:val="32"/>
              </w:rPr>
              <w:t>4</w:t>
            </w:r>
          </w:p>
        </w:tc>
        <w:tc>
          <w:tcPr>
            <w:tcW w:w="1984" w:type="dxa"/>
          </w:tcPr>
          <w:p>
            <w:pPr>
              <w:overflowPunct w:val="0"/>
              <w:adjustRightInd w:val="0"/>
              <w:outlineLvl w:val="0"/>
              <w:rPr>
                <w:rFonts w:eastAsia="楷体_GB2312"/>
                <w:b w:val="0"/>
                <w:bCs/>
                <w:sz w:val="32"/>
                <w:szCs w:val="32"/>
              </w:rPr>
            </w:pPr>
            <w:r>
              <w:rPr>
                <w:rFonts w:hint="eastAsia" w:eastAsia="楷体_GB2312"/>
                <w:b w:val="0"/>
                <w:bCs/>
                <w:sz w:val="32"/>
                <w:szCs w:val="32"/>
              </w:rPr>
              <w:t>监视器</w:t>
            </w:r>
          </w:p>
        </w:tc>
        <w:tc>
          <w:tcPr>
            <w:tcW w:w="1276" w:type="dxa"/>
            <w:vMerge w:val="continue"/>
          </w:tcPr>
          <w:p>
            <w:pPr>
              <w:overflowPunct w:val="0"/>
              <w:adjustRightInd w:val="0"/>
              <w:outlineLvl w:val="0"/>
              <w:rPr>
                <w:rFonts w:eastAsia="楷体_GB2312"/>
                <w:b w:val="0"/>
                <w:bCs/>
                <w:sz w:val="32"/>
                <w:szCs w:val="32"/>
              </w:rPr>
            </w:pPr>
          </w:p>
        </w:tc>
        <w:tc>
          <w:tcPr>
            <w:tcW w:w="1701" w:type="dxa"/>
          </w:tcPr>
          <w:p>
            <w:pPr>
              <w:overflowPunct w:val="0"/>
              <w:adjustRightInd w:val="0"/>
              <w:outlineLvl w:val="0"/>
              <w:rPr>
                <w:rFonts w:eastAsia="楷体_GB2312"/>
                <w:b w:val="0"/>
                <w:bCs/>
                <w:sz w:val="32"/>
                <w:szCs w:val="32"/>
              </w:rPr>
            </w:pPr>
            <w:r>
              <w:rPr>
                <w:rFonts w:hint="eastAsia" w:eastAsia="楷体_GB2312"/>
                <w:b w:val="0"/>
                <w:bCs/>
                <w:sz w:val="32"/>
                <w:szCs w:val="32"/>
              </w:rPr>
              <w:t>6个</w:t>
            </w:r>
          </w:p>
        </w:tc>
        <w:tc>
          <w:tcPr>
            <w:tcW w:w="2602" w:type="dxa"/>
          </w:tcPr>
          <w:p>
            <w:pPr>
              <w:overflowPunct w:val="0"/>
              <w:adjustRightInd w:val="0"/>
              <w:outlineLvl w:val="0"/>
              <w:rPr>
                <w:rFonts w:eastAsia="楷体_GB2312"/>
                <w:b w:val="0"/>
                <w:bCs/>
                <w:sz w:val="32"/>
                <w:szCs w:val="32"/>
              </w:rPr>
            </w:pPr>
            <w:r>
              <w:rPr>
                <w:rFonts w:hint="eastAsia" w:eastAsia="楷体_GB2312"/>
                <w:b w:val="0"/>
                <w:bCs/>
                <w:sz w:val="32"/>
                <w:szCs w:val="32"/>
              </w:rPr>
              <w:t>SCM-1590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overflowPunct w:val="0"/>
              <w:adjustRightInd w:val="0"/>
              <w:outlineLvl w:val="0"/>
              <w:rPr>
                <w:rFonts w:eastAsia="楷体_GB2312"/>
                <w:b w:val="0"/>
                <w:bCs/>
                <w:sz w:val="32"/>
                <w:szCs w:val="32"/>
              </w:rPr>
            </w:pPr>
            <w:r>
              <w:rPr>
                <w:rFonts w:hint="eastAsia" w:eastAsia="楷体_GB2312"/>
                <w:b w:val="0"/>
                <w:bCs/>
                <w:sz w:val="32"/>
                <w:szCs w:val="32"/>
              </w:rPr>
              <w:t>5</w:t>
            </w:r>
          </w:p>
        </w:tc>
        <w:tc>
          <w:tcPr>
            <w:tcW w:w="1984" w:type="dxa"/>
          </w:tcPr>
          <w:p>
            <w:pPr>
              <w:overflowPunct w:val="0"/>
              <w:adjustRightInd w:val="0"/>
              <w:outlineLvl w:val="0"/>
              <w:rPr>
                <w:rFonts w:eastAsia="楷体_GB2312"/>
                <w:b w:val="0"/>
                <w:bCs/>
                <w:sz w:val="32"/>
                <w:szCs w:val="32"/>
              </w:rPr>
            </w:pPr>
            <w:r>
              <w:rPr>
                <w:rFonts w:hint="eastAsia" w:eastAsia="楷体_GB2312"/>
                <w:b w:val="0"/>
                <w:bCs/>
                <w:sz w:val="32"/>
                <w:szCs w:val="32"/>
              </w:rPr>
              <w:t>电子计算机</w:t>
            </w:r>
          </w:p>
        </w:tc>
        <w:tc>
          <w:tcPr>
            <w:tcW w:w="1276" w:type="dxa"/>
            <w:vMerge w:val="continue"/>
          </w:tcPr>
          <w:p>
            <w:pPr>
              <w:overflowPunct w:val="0"/>
              <w:adjustRightInd w:val="0"/>
              <w:outlineLvl w:val="0"/>
              <w:rPr>
                <w:rFonts w:eastAsia="楷体_GB2312"/>
                <w:b w:val="0"/>
                <w:bCs/>
                <w:sz w:val="32"/>
                <w:szCs w:val="32"/>
              </w:rPr>
            </w:pPr>
          </w:p>
        </w:tc>
        <w:tc>
          <w:tcPr>
            <w:tcW w:w="1701" w:type="dxa"/>
          </w:tcPr>
          <w:p>
            <w:pPr>
              <w:overflowPunct w:val="0"/>
              <w:adjustRightInd w:val="0"/>
              <w:outlineLvl w:val="0"/>
              <w:rPr>
                <w:rFonts w:eastAsia="楷体_GB2312"/>
                <w:b w:val="0"/>
                <w:bCs/>
                <w:sz w:val="32"/>
                <w:szCs w:val="32"/>
              </w:rPr>
            </w:pPr>
            <w:r>
              <w:rPr>
                <w:rFonts w:hint="eastAsia" w:eastAsia="楷体_GB2312"/>
                <w:b w:val="0"/>
                <w:bCs/>
                <w:sz w:val="32"/>
                <w:szCs w:val="32"/>
              </w:rPr>
              <w:t>4台</w:t>
            </w:r>
          </w:p>
        </w:tc>
        <w:tc>
          <w:tcPr>
            <w:tcW w:w="2602" w:type="dxa"/>
          </w:tcPr>
          <w:p>
            <w:pPr>
              <w:overflowPunct w:val="0"/>
              <w:adjustRightInd w:val="0"/>
              <w:outlineLvl w:val="0"/>
              <w:rPr>
                <w:rFonts w:eastAsia="楷体_GB2312"/>
                <w:b w:val="0"/>
                <w:bCs/>
                <w:sz w:val="32"/>
                <w:szCs w:val="32"/>
              </w:rPr>
            </w:pPr>
            <w:r>
              <w:rPr>
                <w:rFonts w:hint="eastAsia" w:eastAsia="楷体_GB2312"/>
                <w:b w:val="0"/>
                <w:bCs/>
                <w:sz w:val="32"/>
                <w:szCs w:val="32"/>
              </w:rPr>
              <w:t>联想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overflowPunct w:val="0"/>
              <w:adjustRightInd w:val="0"/>
              <w:outlineLvl w:val="0"/>
              <w:rPr>
                <w:rFonts w:eastAsia="楷体_GB2312"/>
                <w:b w:val="0"/>
                <w:bCs/>
                <w:sz w:val="32"/>
                <w:szCs w:val="32"/>
              </w:rPr>
            </w:pPr>
            <w:r>
              <w:rPr>
                <w:rFonts w:hint="eastAsia" w:eastAsia="楷体_GB2312"/>
                <w:b w:val="0"/>
                <w:bCs/>
                <w:sz w:val="32"/>
                <w:szCs w:val="32"/>
              </w:rPr>
              <w:t>6</w:t>
            </w:r>
          </w:p>
        </w:tc>
        <w:tc>
          <w:tcPr>
            <w:tcW w:w="1984" w:type="dxa"/>
          </w:tcPr>
          <w:p>
            <w:pPr>
              <w:overflowPunct w:val="0"/>
              <w:adjustRightInd w:val="0"/>
              <w:outlineLvl w:val="0"/>
              <w:rPr>
                <w:rFonts w:eastAsia="楷体_GB2312"/>
                <w:b w:val="0"/>
                <w:bCs/>
                <w:sz w:val="32"/>
                <w:szCs w:val="32"/>
              </w:rPr>
            </w:pPr>
            <w:r>
              <w:rPr>
                <w:rFonts w:hint="eastAsia" w:eastAsia="楷体_GB2312"/>
                <w:b w:val="0"/>
                <w:bCs/>
                <w:sz w:val="32"/>
                <w:szCs w:val="32"/>
              </w:rPr>
              <w:t>数码展示台</w:t>
            </w:r>
          </w:p>
        </w:tc>
        <w:tc>
          <w:tcPr>
            <w:tcW w:w="1276" w:type="dxa"/>
            <w:vMerge w:val="continue"/>
          </w:tcPr>
          <w:p>
            <w:pPr>
              <w:overflowPunct w:val="0"/>
              <w:adjustRightInd w:val="0"/>
              <w:outlineLvl w:val="0"/>
              <w:rPr>
                <w:rFonts w:eastAsia="楷体_GB2312"/>
                <w:b w:val="0"/>
                <w:bCs/>
                <w:sz w:val="32"/>
                <w:szCs w:val="32"/>
              </w:rPr>
            </w:pPr>
          </w:p>
        </w:tc>
        <w:tc>
          <w:tcPr>
            <w:tcW w:w="1701" w:type="dxa"/>
          </w:tcPr>
          <w:p>
            <w:pPr>
              <w:overflowPunct w:val="0"/>
              <w:adjustRightInd w:val="0"/>
              <w:outlineLvl w:val="0"/>
              <w:rPr>
                <w:rFonts w:eastAsia="楷体_GB2312"/>
                <w:b w:val="0"/>
                <w:bCs/>
                <w:sz w:val="32"/>
                <w:szCs w:val="32"/>
              </w:rPr>
            </w:pPr>
            <w:r>
              <w:rPr>
                <w:rFonts w:hint="eastAsia" w:eastAsia="楷体_GB2312"/>
                <w:b w:val="0"/>
                <w:bCs/>
                <w:sz w:val="32"/>
                <w:szCs w:val="32"/>
              </w:rPr>
              <w:t>1台</w:t>
            </w:r>
          </w:p>
        </w:tc>
        <w:tc>
          <w:tcPr>
            <w:tcW w:w="2602" w:type="dxa"/>
          </w:tcPr>
          <w:p>
            <w:pPr>
              <w:overflowPunct w:val="0"/>
              <w:adjustRightInd w:val="0"/>
              <w:outlineLvl w:val="0"/>
              <w:rPr>
                <w:rFonts w:eastAsia="楷体_GB2312"/>
                <w:b w:val="0"/>
                <w:bCs/>
                <w:sz w:val="32"/>
                <w:szCs w:val="32"/>
              </w:rPr>
            </w:pPr>
            <w:r>
              <w:rPr>
                <w:rFonts w:hint="eastAsia" w:eastAsia="楷体_GB2312"/>
                <w:b w:val="0"/>
                <w:bCs/>
                <w:sz w:val="32"/>
                <w:szCs w:val="32"/>
              </w:rPr>
              <w:t>嘉胜GV-8500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overflowPunct w:val="0"/>
              <w:adjustRightInd w:val="0"/>
              <w:outlineLvl w:val="0"/>
              <w:rPr>
                <w:rFonts w:eastAsia="楷体_GB2312"/>
                <w:b w:val="0"/>
                <w:bCs/>
                <w:sz w:val="32"/>
                <w:szCs w:val="32"/>
              </w:rPr>
            </w:pPr>
            <w:r>
              <w:rPr>
                <w:rFonts w:hint="eastAsia" w:eastAsia="楷体_GB2312"/>
                <w:b w:val="0"/>
                <w:bCs/>
                <w:sz w:val="32"/>
                <w:szCs w:val="32"/>
              </w:rPr>
              <w:t>7</w:t>
            </w:r>
          </w:p>
        </w:tc>
        <w:tc>
          <w:tcPr>
            <w:tcW w:w="1984" w:type="dxa"/>
          </w:tcPr>
          <w:p>
            <w:pPr>
              <w:overflowPunct w:val="0"/>
              <w:adjustRightInd w:val="0"/>
              <w:outlineLvl w:val="0"/>
              <w:rPr>
                <w:rFonts w:eastAsia="楷体_GB2312"/>
                <w:b w:val="0"/>
                <w:bCs/>
                <w:sz w:val="32"/>
                <w:szCs w:val="32"/>
              </w:rPr>
            </w:pPr>
            <w:r>
              <w:rPr>
                <w:rFonts w:hint="eastAsia" w:eastAsia="楷体_GB2312"/>
                <w:b w:val="0"/>
                <w:bCs/>
                <w:sz w:val="32"/>
                <w:szCs w:val="32"/>
              </w:rPr>
              <w:t>彩色电视机</w:t>
            </w:r>
          </w:p>
        </w:tc>
        <w:tc>
          <w:tcPr>
            <w:tcW w:w="1276" w:type="dxa"/>
            <w:vMerge w:val="restart"/>
          </w:tcPr>
          <w:p>
            <w:pPr>
              <w:overflowPunct w:val="0"/>
              <w:adjustRightInd w:val="0"/>
              <w:outlineLvl w:val="0"/>
              <w:rPr>
                <w:rFonts w:eastAsia="楷体_GB2312"/>
                <w:b w:val="0"/>
                <w:bCs/>
                <w:sz w:val="32"/>
                <w:szCs w:val="32"/>
              </w:rPr>
            </w:pPr>
          </w:p>
        </w:tc>
        <w:tc>
          <w:tcPr>
            <w:tcW w:w="1701" w:type="dxa"/>
          </w:tcPr>
          <w:p>
            <w:pPr>
              <w:overflowPunct w:val="0"/>
              <w:adjustRightInd w:val="0"/>
              <w:outlineLvl w:val="0"/>
              <w:rPr>
                <w:rFonts w:eastAsia="楷体_GB2312"/>
                <w:b w:val="0"/>
                <w:bCs/>
                <w:sz w:val="32"/>
                <w:szCs w:val="32"/>
              </w:rPr>
            </w:pPr>
            <w:r>
              <w:rPr>
                <w:rFonts w:hint="eastAsia" w:eastAsia="楷体_GB2312"/>
                <w:b w:val="0"/>
                <w:bCs/>
                <w:sz w:val="32"/>
                <w:szCs w:val="32"/>
              </w:rPr>
              <w:t>4部</w:t>
            </w:r>
          </w:p>
        </w:tc>
        <w:tc>
          <w:tcPr>
            <w:tcW w:w="2602" w:type="dxa"/>
          </w:tcPr>
          <w:p>
            <w:pPr>
              <w:overflowPunct w:val="0"/>
              <w:adjustRightInd w:val="0"/>
              <w:outlineLvl w:val="0"/>
              <w:rPr>
                <w:rFonts w:eastAsia="楷体_GB2312"/>
                <w:b w:val="0"/>
                <w:bCs/>
                <w:sz w:val="32"/>
                <w:szCs w:val="32"/>
              </w:rPr>
            </w:pPr>
            <w:r>
              <w:rPr>
                <w:rFonts w:hint="eastAsia" w:eastAsia="楷体_GB2312"/>
                <w:b w:val="0"/>
                <w:bCs/>
                <w:sz w:val="32"/>
                <w:szCs w:val="32"/>
              </w:rPr>
              <w:t>TCL 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overflowPunct w:val="0"/>
              <w:adjustRightInd w:val="0"/>
              <w:outlineLvl w:val="0"/>
              <w:rPr>
                <w:rFonts w:eastAsia="楷体_GB2312"/>
                <w:b w:val="0"/>
                <w:bCs/>
                <w:sz w:val="32"/>
                <w:szCs w:val="32"/>
              </w:rPr>
            </w:pPr>
            <w:r>
              <w:rPr>
                <w:rFonts w:hint="eastAsia" w:eastAsia="楷体_GB2312"/>
                <w:b w:val="0"/>
                <w:bCs/>
                <w:sz w:val="32"/>
                <w:szCs w:val="32"/>
              </w:rPr>
              <w:t>8</w:t>
            </w:r>
          </w:p>
        </w:tc>
        <w:tc>
          <w:tcPr>
            <w:tcW w:w="1984" w:type="dxa"/>
          </w:tcPr>
          <w:p>
            <w:pPr>
              <w:overflowPunct w:val="0"/>
              <w:adjustRightInd w:val="0"/>
              <w:outlineLvl w:val="0"/>
              <w:rPr>
                <w:rFonts w:eastAsia="楷体_GB2312"/>
                <w:b w:val="0"/>
                <w:bCs/>
                <w:sz w:val="32"/>
                <w:szCs w:val="32"/>
              </w:rPr>
            </w:pPr>
            <w:r>
              <w:rPr>
                <w:rFonts w:hint="eastAsia" w:eastAsia="楷体_GB2312"/>
                <w:b w:val="0"/>
                <w:bCs/>
                <w:sz w:val="32"/>
                <w:szCs w:val="32"/>
              </w:rPr>
              <w:t>多媒体音箱</w:t>
            </w:r>
          </w:p>
        </w:tc>
        <w:tc>
          <w:tcPr>
            <w:tcW w:w="1276" w:type="dxa"/>
            <w:vMerge w:val="continue"/>
          </w:tcPr>
          <w:p>
            <w:pPr>
              <w:overflowPunct w:val="0"/>
              <w:adjustRightInd w:val="0"/>
              <w:outlineLvl w:val="0"/>
              <w:rPr>
                <w:rFonts w:eastAsia="楷体_GB2312"/>
                <w:b w:val="0"/>
                <w:bCs/>
                <w:sz w:val="32"/>
                <w:szCs w:val="32"/>
              </w:rPr>
            </w:pPr>
          </w:p>
        </w:tc>
        <w:tc>
          <w:tcPr>
            <w:tcW w:w="1701" w:type="dxa"/>
          </w:tcPr>
          <w:p>
            <w:pPr>
              <w:overflowPunct w:val="0"/>
              <w:adjustRightInd w:val="0"/>
              <w:outlineLvl w:val="0"/>
              <w:rPr>
                <w:rFonts w:eastAsia="楷体_GB2312"/>
                <w:b w:val="0"/>
                <w:bCs/>
                <w:sz w:val="32"/>
                <w:szCs w:val="32"/>
              </w:rPr>
            </w:pPr>
            <w:r>
              <w:rPr>
                <w:rFonts w:hint="eastAsia" w:eastAsia="楷体_GB2312"/>
                <w:b w:val="0"/>
                <w:bCs/>
                <w:sz w:val="32"/>
                <w:szCs w:val="32"/>
              </w:rPr>
              <w:t>2台</w:t>
            </w:r>
          </w:p>
        </w:tc>
        <w:tc>
          <w:tcPr>
            <w:tcW w:w="2602" w:type="dxa"/>
          </w:tcPr>
          <w:p>
            <w:pPr>
              <w:overflowPunct w:val="0"/>
              <w:adjustRightInd w:val="0"/>
              <w:outlineLvl w:val="0"/>
              <w:rPr>
                <w:rFonts w:eastAsia="楷体_GB2312"/>
                <w:b w:val="0"/>
                <w:bCs/>
                <w:sz w:val="32"/>
                <w:szCs w:val="32"/>
              </w:rPr>
            </w:pPr>
            <w:r>
              <w:rPr>
                <w:rFonts w:hint="eastAsia" w:eastAsia="楷体_GB2312"/>
                <w:b w:val="0"/>
                <w:bCs/>
                <w:sz w:val="32"/>
                <w:szCs w:val="32"/>
              </w:rPr>
              <w:t>惠威 200</w:t>
            </w:r>
          </w:p>
        </w:tc>
      </w:tr>
    </w:tbl>
    <w:p>
      <w:pPr>
        <w:pStyle w:val="26"/>
        <w:numPr>
          <w:ilvl w:val="0"/>
          <w:numId w:val="2"/>
        </w:numPr>
        <w:spacing w:line="560" w:lineRule="exact"/>
        <w:ind w:firstLineChars="0"/>
        <w:rPr>
          <w:rFonts w:ascii="仿宋_GB2312" w:hAnsi="宋体" w:eastAsia="仿宋_GB2312"/>
          <w:sz w:val="32"/>
          <w:szCs w:val="32"/>
        </w:rPr>
      </w:pPr>
      <w:r>
        <w:rPr>
          <w:rFonts w:ascii="仿宋_GB2312" w:hAnsi="宋体" w:eastAsia="仿宋_GB2312"/>
          <w:sz w:val="32"/>
          <w:szCs w:val="32"/>
        </w:rPr>
        <w:t>语音实训室</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功能:能实现普通话教学中的师生对讲、多媒体音视频广播教学、分组教学、分组讨论、学生录音，增强普通话教学的有效性和针对性，提高教学质量。</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适应课程:普通话</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主要设备装备标准:</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84"/>
        <w:gridCol w:w="1276"/>
        <w:gridCol w:w="1701"/>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overflowPunct w:val="0"/>
              <w:adjustRightInd w:val="0"/>
              <w:outlineLvl w:val="0"/>
              <w:rPr>
                <w:rFonts w:eastAsia="楷体_GB2312"/>
                <w:b w:val="0"/>
                <w:bCs/>
                <w:sz w:val="32"/>
                <w:szCs w:val="32"/>
              </w:rPr>
            </w:pPr>
            <w:r>
              <w:rPr>
                <w:rFonts w:hint="eastAsia" w:eastAsia="楷体_GB2312"/>
                <w:b w:val="0"/>
                <w:bCs/>
                <w:sz w:val="32"/>
                <w:szCs w:val="32"/>
              </w:rPr>
              <w:t>序号</w:t>
            </w:r>
          </w:p>
        </w:tc>
        <w:tc>
          <w:tcPr>
            <w:tcW w:w="1984" w:type="dxa"/>
          </w:tcPr>
          <w:p>
            <w:pPr>
              <w:overflowPunct w:val="0"/>
              <w:adjustRightInd w:val="0"/>
              <w:outlineLvl w:val="0"/>
              <w:rPr>
                <w:rFonts w:eastAsia="楷体_GB2312"/>
                <w:b w:val="0"/>
                <w:bCs/>
                <w:sz w:val="32"/>
                <w:szCs w:val="32"/>
              </w:rPr>
            </w:pPr>
            <w:r>
              <w:rPr>
                <w:rFonts w:hint="eastAsia" w:eastAsia="楷体_GB2312"/>
                <w:b w:val="0"/>
                <w:bCs/>
                <w:sz w:val="32"/>
                <w:szCs w:val="32"/>
              </w:rPr>
              <w:t>设备名称</w:t>
            </w:r>
          </w:p>
        </w:tc>
        <w:tc>
          <w:tcPr>
            <w:tcW w:w="1276" w:type="dxa"/>
          </w:tcPr>
          <w:p>
            <w:pPr>
              <w:overflowPunct w:val="0"/>
              <w:adjustRightInd w:val="0"/>
              <w:outlineLvl w:val="0"/>
              <w:rPr>
                <w:rFonts w:eastAsia="楷体_GB2312"/>
                <w:b w:val="0"/>
                <w:bCs/>
                <w:sz w:val="32"/>
                <w:szCs w:val="32"/>
              </w:rPr>
            </w:pPr>
            <w:r>
              <w:rPr>
                <w:rFonts w:hint="eastAsia" w:eastAsia="楷体_GB2312"/>
                <w:b w:val="0"/>
                <w:bCs/>
                <w:sz w:val="32"/>
                <w:szCs w:val="32"/>
              </w:rPr>
              <w:t>用途</w:t>
            </w:r>
          </w:p>
        </w:tc>
        <w:tc>
          <w:tcPr>
            <w:tcW w:w="1701" w:type="dxa"/>
          </w:tcPr>
          <w:p>
            <w:pPr>
              <w:overflowPunct w:val="0"/>
              <w:adjustRightInd w:val="0"/>
              <w:outlineLvl w:val="0"/>
              <w:rPr>
                <w:rFonts w:eastAsia="楷体_GB2312"/>
                <w:b w:val="0"/>
                <w:bCs/>
                <w:sz w:val="32"/>
                <w:szCs w:val="32"/>
              </w:rPr>
            </w:pPr>
            <w:r>
              <w:rPr>
                <w:rFonts w:hint="eastAsia" w:eastAsia="楷体_GB2312"/>
                <w:b w:val="0"/>
                <w:bCs/>
                <w:sz w:val="32"/>
                <w:szCs w:val="32"/>
              </w:rPr>
              <w:t>单位/数量</w:t>
            </w:r>
          </w:p>
        </w:tc>
        <w:tc>
          <w:tcPr>
            <w:tcW w:w="2602" w:type="dxa"/>
          </w:tcPr>
          <w:p>
            <w:pPr>
              <w:overflowPunct w:val="0"/>
              <w:adjustRightInd w:val="0"/>
              <w:outlineLvl w:val="0"/>
              <w:rPr>
                <w:rFonts w:eastAsia="楷体_GB2312"/>
                <w:b w:val="0"/>
                <w:bCs/>
                <w:sz w:val="32"/>
                <w:szCs w:val="32"/>
              </w:rPr>
            </w:pPr>
            <w:r>
              <w:rPr>
                <w:rFonts w:hint="eastAsia" w:eastAsia="楷体_GB2312"/>
                <w:b w:val="0"/>
                <w:bCs/>
                <w:sz w:val="32"/>
                <w:szCs w:val="32"/>
              </w:rPr>
              <w:t>基本配置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overflowPunct w:val="0"/>
              <w:adjustRightInd w:val="0"/>
              <w:outlineLvl w:val="0"/>
              <w:rPr>
                <w:rFonts w:eastAsia="楷体_GB2312"/>
                <w:b w:val="0"/>
                <w:bCs/>
                <w:sz w:val="32"/>
                <w:szCs w:val="32"/>
              </w:rPr>
            </w:pPr>
            <w:r>
              <w:rPr>
                <w:rFonts w:hint="eastAsia" w:eastAsia="楷体_GB2312"/>
                <w:b w:val="0"/>
                <w:bCs/>
                <w:sz w:val="32"/>
                <w:szCs w:val="32"/>
              </w:rPr>
              <w:t>1</w:t>
            </w:r>
          </w:p>
        </w:tc>
        <w:tc>
          <w:tcPr>
            <w:tcW w:w="1984" w:type="dxa"/>
          </w:tcPr>
          <w:p>
            <w:pPr>
              <w:overflowPunct w:val="0"/>
              <w:adjustRightInd w:val="0"/>
              <w:outlineLvl w:val="0"/>
              <w:rPr>
                <w:rFonts w:eastAsia="楷体_GB2312"/>
                <w:b w:val="0"/>
                <w:bCs/>
                <w:sz w:val="32"/>
                <w:szCs w:val="32"/>
              </w:rPr>
            </w:pPr>
            <w:r>
              <w:rPr>
                <w:rFonts w:hint="eastAsia" w:eastAsia="楷体_GB2312"/>
                <w:b w:val="0"/>
                <w:bCs/>
                <w:sz w:val="32"/>
                <w:szCs w:val="32"/>
              </w:rPr>
              <w:t>多媒体语音主控机</w:t>
            </w:r>
          </w:p>
        </w:tc>
        <w:tc>
          <w:tcPr>
            <w:tcW w:w="1276" w:type="dxa"/>
            <w:vMerge w:val="restart"/>
          </w:tcPr>
          <w:p>
            <w:pPr>
              <w:overflowPunct w:val="0"/>
              <w:adjustRightInd w:val="0"/>
              <w:outlineLvl w:val="0"/>
              <w:rPr>
                <w:rFonts w:eastAsia="楷体_GB2312"/>
                <w:b w:val="0"/>
                <w:bCs/>
                <w:sz w:val="32"/>
                <w:szCs w:val="32"/>
              </w:rPr>
            </w:pPr>
          </w:p>
          <w:p>
            <w:pPr>
              <w:overflowPunct w:val="0"/>
              <w:adjustRightInd w:val="0"/>
              <w:outlineLvl w:val="0"/>
              <w:rPr>
                <w:rFonts w:eastAsia="楷体_GB2312"/>
                <w:b w:val="0"/>
                <w:bCs/>
                <w:sz w:val="32"/>
                <w:szCs w:val="32"/>
              </w:rPr>
            </w:pPr>
          </w:p>
          <w:p>
            <w:pPr>
              <w:overflowPunct w:val="0"/>
              <w:adjustRightInd w:val="0"/>
              <w:outlineLvl w:val="0"/>
              <w:rPr>
                <w:rFonts w:eastAsia="楷体_GB2312"/>
                <w:b w:val="0"/>
                <w:bCs/>
                <w:sz w:val="32"/>
                <w:szCs w:val="32"/>
              </w:rPr>
            </w:pPr>
          </w:p>
          <w:p>
            <w:pPr>
              <w:overflowPunct w:val="0"/>
              <w:adjustRightInd w:val="0"/>
              <w:outlineLvl w:val="0"/>
              <w:rPr>
                <w:rFonts w:eastAsia="楷体_GB2312"/>
                <w:b w:val="0"/>
                <w:bCs/>
                <w:sz w:val="32"/>
                <w:szCs w:val="32"/>
              </w:rPr>
            </w:pPr>
          </w:p>
          <w:p>
            <w:pPr>
              <w:overflowPunct w:val="0"/>
              <w:adjustRightInd w:val="0"/>
              <w:outlineLvl w:val="0"/>
              <w:rPr>
                <w:rFonts w:eastAsia="楷体_GB2312"/>
                <w:b w:val="0"/>
                <w:bCs/>
                <w:sz w:val="32"/>
                <w:szCs w:val="32"/>
              </w:rPr>
            </w:pPr>
          </w:p>
          <w:p>
            <w:pPr>
              <w:overflowPunct w:val="0"/>
              <w:adjustRightInd w:val="0"/>
              <w:outlineLvl w:val="0"/>
              <w:rPr>
                <w:rFonts w:eastAsia="楷体_GB2312"/>
                <w:b w:val="0"/>
                <w:bCs/>
                <w:sz w:val="32"/>
                <w:szCs w:val="32"/>
              </w:rPr>
            </w:pPr>
            <w:r>
              <w:rPr>
                <w:rFonts w:hint="eastAsia" w:eastAsia="楷体_GB2312"/>
                <w:b w:val="0"/>
                <w:bCs/>
                <w:sz w:val="32"/>
                <w:szCs w:val="32"/>
              </w:rPr>
              <w:t>普通话</w:t>
            </w:r>
          </w:p>
        </w:tc>
        <w:tc>
          <w:tcPr>
            <w:tcW w:w="1701" w:type="dxa"/>
          </w:tcPr>
          <w:p>
            <w:pPr>
              <w:overflowPunct w:val="0"/>
              <w:adjustRightInd w:val="0"/>
              <w:outlineLvl w:val="0"/>
              <w:rPr>
                <w:rFonts w:eastAsia="楷体_GB2312"/>
                <w:b w:val="0"/>
                <w:bCs/>
                <w:sz w:val="32"/>
                <w:szCs w:val="32"/>
              </w:rPr>
            </w:pPr>
            <w:r>
              <w:rPr>
                <w:rFonts w:hint="eastAsia" w:eastAsia="楷体_GB2312"/>
                <w:b w:val="0"/>
                <w:bCs/>
                <w:sz w:val="32"/>
                <w:szCs w:val="32"/>
              </w:rPr>
              <w:t>1台</w:t>
            </w:r>
          </w:p>
        </w:tc>
        <w:tc>
          <w:tcPr>
            <w:tcW w:w="2602" w:type="dxa"/>
          </w:tcPr>
          <w:p>
            <w:pPr>
              <w:overflowPunct w:val="0"/>
              <w:adjustRightInd w:val="0"/>
              <w:outlineLvl w:val="0"/>
              <w:rPr>
                <w:rFonts w:eastAsia="楷体_GB2312"/>
                <w:b w:val="0"/>
                <w:bCs/>
                <w:sz w:val="32"/>
                <w:szCs w:val="32"/>
              </w:rPr>
            </w:pPr>
            <w:r>
              <w:rPr>
                <w:rFonts w:hint="eastAsia" w:eastAsia="楷体_GB2312"/>
                <w:b w:val="0"/>
                <w:bCs/>
                <w:sz w:val="32"/>
                <w:szCs w:val="32"/>
              </w:rPr>
              <w:t>利马科技AATV-DR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overflowPunct w:val="0"/>
              <w:adjustRightInd w:val="0"/>
              <w:outlineLvl w:val="0"/>
              <w:rPr>
                <w:rFonts w:eastAsia="楷体_GB2312"/>
                <w:b w:val="0"/>
                <w:bCs/>
                <w:sz w:val="32"/>
                <w:szCs w:val="32"/>
              </w:rPr>
            </w:pPr>
            <w:r>
              <w:rPr>
                <w:rFonts w:hint="eastAsia" w:eastAsia="楷体_GB2312"/>
                <w:b w:val="0"/>
                <w:bCs/>
                <w:sz w:val="32"/>
                <w:szCs w:val="32"/>
              </w:rPr>
              <w:t>2</w:t>
            </w:r>
          </w:p>
        </w:tc>
        <w:tc>
          <w:tcPr>
            <w:tcW w:w="1984" w:type="dxa"/>
          </w:tcPr>
          <w:p>
            <w:pPr>
              <w:overflowPunct w:val="0"/>
              <w:adjustRightInd w:val="0"/>
              <w:outlineLvl w:val="0"/>
              <w:rPr>
                <w:rFonts w:eastAsia="楷体_GB2312"/>
                <w:b w:val="0"/>
                <w:bCs/>
                <w:sz w:val="32"/>
                <w:szCs w:val="32"/>
              </w:rPr>
            </w:pPr>
            <w:r>
              <w:rPr>
                <w:rFonts w:hint="eastAsia" w:eastAsia="楷体_GB2312"/>
                <w:b w:val="0"/>
                <w:bCs/>
                <w:sz w:val="32"/>
                <w:szCs w:val="32"/>
              </w:rPr>
              <w:t>多媒体语音教学系统</w:t>
            </w:r>
          </w:p>
        </w:tc>
        <w:tc>
          <w:tcPr>
            <w:tcW w:w="1276" w:type="dxa"/>
            <w:vMerge w:val="continue"/>
          </w:tcPr>
          <w:p>
            <w:pPr>
              <w:overflowPunct w:val="0"/>
              <w:adjustRightInd w:val="0"/>
              <w:outlineLvl w:val="0"/>
              <w:rPr>
                <w:rFonts w:eastAsia="楷体_GB2312"/>
                <w:b w:val="0"/>
                <w:bCs/>
                <w:sz w:val="32"/>
                <w:szCs w:val="32"/>
              </w:rPr>
            </w:pPr>
          </w:p>
        </w:tc>
        <w:tc>
          <w:tcPr>
            <w:tcW w:w="1701" w:type="dxa"/>
          </w:tcPr>
          <w:p>
            <w:pPr>
              <w:overflowPunct w:val="0"/>
              <w:adjustRightInd w:val="0"/>
              <w:outlineLvl w:val="0"/>
              <w:rPr>
                <w:rFonts w:eastAsia="楷体_GB2312"/>
                <w:b w:val="0"/>
                <w:bCs/>
                <w:sz w:val="32"/>
                <w:szCs w:val="32"/>
              </w:rPr>
            </w:pPr>
            <w:r>
              <w:rPr>
                <w:rFonts w:hint="eastAsia" w:eastAsia="楷体_GB2312"/>
                <w:b w:val="0"/>
                <w:bCs/>
                <w:sz w:val="32"/>
                <w:szCs w:val="32"/>
              </w:rPr>
              <w:t>1套</w:t>
            </w:r>
          </w:p>
        </w:tc>
        <w:tc>
          <w:tcPr>
            <w:tcW w:w="2602" w:type="dxa"/>
          </w:tcPr>
          <w:p>
            <w:pPr>
              <w:overflowPunct w:val="0"/>
              <w:adjustRightInd w:val="0"/>
              <w:outlineLvl w:val="0"/>
              <w:rPr>
                <w:rFonts w:eastAsia="楷体_GB2312"/>
                <w:b w:val="0"/>
                <w:bCs/>
                <w:sz w:val="32"/>
                <w:szCs w:val="32"/>
              </w:rPr>
            </w:pPr>
            <w:r>
              <w:rPr>
                <w:rFonts w:hint="eastAsia" w:eastAsia="楷体_GB2312"/>
                <w:b w:val="0"/>
                <w:bCs/>
                <w:sz w:val="32"/>
                <w:szCs w:val="32"/>
              </w:rPr>
              <w:t>利马科技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overflowPunct w:val="0"/>
              <w:adjustRightInd w:val="0"/>
              <w:outlineLvl w:val="0"/>
              <w:rPr>
                <w:rFonts w:eastAsia="楷体_GB2312"/>
                <w:b w:val="0"/>
                <w:bCs/>
                <w:sz w:val="32"/>
                <w:szCs w:val="32"/>
              </w:rPr>
            </w:pPr>
            <w:r>
              <w:rPr>
                <w:rFonts w:hint="eastAsia" w:eastAsia="楷体_GB2312"/>
                <w:b w:val="0"/>
                <w:bCs/>
                <w:sz w:val="32"/>
                <w:szCs w:val="32"/>
              </w:rPr>
              <w:t>3</w:t>
            </w:r>
          </w:p>
        </w:tc>
        <w:tc>
          <w:tcPr>
            <w:tcW w:w="1984" w:type="dxa"/>
          </w:tcPr>
          <w:p>
            <w:pPr>
              <w:overflowPunct w:val="0"/>
              <w:adjustRightInd w:val="0"/>
              <w:outlineLvl w:val="0"/>
              <w:rPr>
                <w:rFonts w:eastAsia="楷体_GB2312"/>
                <w:b w:val="0"/>
                <w:bCs/>
                <w:sz w:val="32"/>
                <w:szCs w:val="32"/>
              </w:rPr>
            </w:pPr>
            <w:r>
              <w:rPr>
                <w:rFonts w:hint="eastAsia" w:eastAsia="楷体_GB2312"/>
                <w:b w:val="0"/>
                <w:bCs/>
                <w:sz w:val="32"/>
                <w:szCs w:val="32"/>
              </w:rPr>
              <w:t>教师录音卡座</w:t>
            </w:r>
          </w:p>
        </w:tc>
        <w:tc>
          <w:tcPr>
            <w:tcW w:w="1276" w:type="dxa"/>
            <w:vMerge w:val="continue"/>
          </w:tcPr>
          <w:p>
            <w:pPr>
              <w:overflowPunct w:val="0"/>
              <w:adjustRightInd w:val="0"/>
              <w:outlineLvl w:val="0"/>
              <w:rPr>
                <w:rFonts w:eastAsia="楷体_GB2312"/>
                <w:b w:val="0"/>
                <w:bCs/>
                <w:sz w:val="32"/>
                <w:szCs w:val="32"/>
              </w:rPr>
            </w:pPr>
          </w:p>
        </w:tc>
        <w:tc>
          <w:tcPr>
            <w:tcW w:w="1701" w:type="dxa"/>
          </w:tcPr>
          <w:p>
            <w:pPr>
              <w:overflowPunct w:val="0"/>
              <w:adjustRightInd w:val="0"/>
              <w:outlineLvl w:val="0"/>
              <w:rPr>
                <w:rFonts w:eastAsia="楷体_GB2312"/>
                <w:b w:val="0"/>
                <w:bCs/>
                <w:sz w:val="32"/>
                <w:szCs w:val="32"/>
              </w:rPr>
            </w:pPr>
            <w:r>
              <w:rPr>
                <w:rFonts w:hint="eastAsia" w:eastAsia="楷体_GB2312"/>
                <w:b w:val="0"/>
                <w:bCs/>
                <w:sz w:val="32"/>
                <w:szCs w:val="32"/>
              </w:rPr>
              <w:t>1台</w:t>
            </w:r>
          </w:p>
        </w:tc>
        <w:tc>
          <w:tcPr>
            <w:tcW w:w="2602" w:type="dxa"/>
          </w:tcPr>
          <w:p>
            <w:pPr>
              <w:overflowPunct w:val="0"/>
              <w:adjustRightInd w:val="0"/>
              <w:outlineLvl w:val="0"/>
              <w:rPr>
                <w:rFonts w:eastAsia="楷体_GB2312"/>
                <w:b w:val="0"/>
                <w:bCs/>
                <w:sz w:val="32"/>
                <w:szCs w:val="32"/>
              </w:rPr>
            </w:pPr>
            <w:r>
              <w:rPr>
                <w:rFonts w:hint="eastAsia" w:eastAsia="楷体_GB2312"/>
                <w:b w:val="0"/>
                <w:bCs/>
                <w:sz w:val="32"/>
                <w:szCs w:val="32"/>
              </w:rPr>
              <w:t>利马科技AT-800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overflowPunct w:val="0"/>
              <w:adjustRightInd w:val="0"/>
              <w:outlineLvl w:val="0"/>
              <w:rPr>
                <w:rFonts w:eastAsia="楷体_GB2312"/>
                <w:b w:val="0"/>
                <w:bCs/>
                <w:sz w:val="32"/>
                <w:szCs w:val="32"/>
              </w:rPr>
            </w:pPr>
            <w:r>
              <w:rPr>
                <w:rFonts w:hint="eastAsia" w:eastAsia="楷体_GB2312"/>
                <w:b w:val="0"/>
                <w:bCs/>
                <w:sz w:val="32"/>
                <w:szCs w:val="32"/>
              </w:rPr>
              <w:t>4</w:t>
            </w:r>
          </w:p>
        </w:tc>
        <w:tc>
          <w:tcPr>
            <w:tcW w:w="1984" w:type="dxa"/>
          </w:tcPr>
          <w:p>
            <w:pPr>
              <w:overflowPunct w:val="0"/>
              <w:adjustRightInd w:val="0"/>
              <w:outlineLvl w:val="0"/>
              <w:rPr>
                <w:rFonts w:eastAsia="楷体_GB2312"/>
                <w:b w:val="0"/>
                <w:bCs/>
                <w:sz w:val="32"/>
                <w:szCs w:val="32"/>
              </w:rPr>
            </w:pPr>
            <w:r>
              <w:rPr>
                <w:rFonts w:hint="eastAsia" w:eastAsia="楷体_GB2312"/>
                <w:b w:val="0"/>
                <w:bCs/>
                <w:sz w:val="32"/>
                <w:szCs w:val="32"/>
              </w:rPr>
              <w:t>耳机话筒</w:t>
            </w:r>
          </w:p>
        </w:tc>
        <w:tc>
          <w:tcPr>
            <w:tcW w:w="1276" w:type="dxa"/>
            <w:vMerge w:val="continue"/>
          </w:tcPr>
          <w:p>
            <w:pPr>
              <w:overflowPunct w:val="0"/>
              <w:adjustRightInd w:val="0"/>
              <w:outlineLvl w:val="0"/>
              <w:rPr>
                <w:rFonts w:eastAsia="楷体_GB2312"/>
                <w:b w:val="0"/>
                <w:bCs/>
                <w:sz w:val="32"/>
                <w:szCs w:val="32"/>
              </w:rPr>
            </w:pPr>
          </w:p>
        </w:tc>
        <w:tc>
          <w:tcPr>
            <w:tcW w:w="1701" w:type="dxa"/>
          </w:tcPr>
          <w:p>
            <w:pPr>
              <w:overflowPunct w:val="0"/>
              <w:adjustRightInd w:val="0"/>
              <w:outlineLvl w:val="0"/>
              <w:rPr>
                <w:rFonts w:eastAsia="楷体_GB2312"/>
                <w:b w:val="0"/>
                <w:bCs/>
                <w:sz w:val="32"/>
                <w:szCs w:val="32"/>
              </w:rPr>
            </w:pPr>
            <w:r>
              <w:rPr>
                <w:rFonts w:hint="eastAsia" w:eastAsia="楷体_GB2312"/>
                <w:b w:val="0"/>
                <w:bCs/>
                <w:sz w:val="32"/>
                <w:szCs w:val="32"/>
              </w:rPr>
              <w:t>50副</w:t>
            </w:r>
          </w:p>
        </w:tc>
        <w:tc>
          <w:tcPr>
            <w:tcW w:w="2602" w:type="dxa"/>
          </w:tcPr>
          <w:p>
            <w:pPr>
              <w:overflowPunct w:val="0"/>
              <w:adjustRightInd w:val="0"/>
              <w:outlineLvl w:val="0"/>
              <w:rPr>
                <w:rFonts w:eastAsia="楷体_GB2312"/>
                <w:b w:val="0"/>
                <w:bCs/>
                <w:sz w:val="32"/>
                <w:szCs w:val="32"/>
              </w:rPr>
            </w:pPr>
            <w:r>
              <w:rPr>
                <w:rFonts w:hint="eastAsia" w:eastAsia="楷体_GB2312"/>
                <w:b w:val="0"/>
                <w:bCs/>
                <w:sz w:val="32"/>
                <w:szCs w:val="32"/>
              </w:rPr>
              <w:t>利马科技LM-1803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overflowPunct w:val="0"/>
              <w:adjustRightInd w:val="0"/>
              <w:outlineLvl w:val="0"/>
              <w:rPr>
                <w:rFonts w:eastAsia="楷体_GB2312"/>
                <w:b w:val="0"/>
                <w:bCs/>
                <w:sz w:val="32"/>
                <w:szCs w:val="32"/>
              </w:rPr>
            </w:pPr>
            <w:r>
              <w:rPr>
                <w:rFonts w:hint="eastAsia" w:eastAsia="楷体_GB2312"/>
                <w:b w:val="0"/>
                <w:bCs/>
                <w:sz w:val="32"/>
                <w:szCs w:val="32"/>
              </w:rPr>
              <w:t>5</w:t>
            </w:r>
          </w:p>
        </w:tc>
        <w:tc>
          <w:tcPr>
            <w:tcW w:w="1984" w:type="dxa"/>
          </w:tcPr>
          <w:p>
            <w:pPr>
              <w:overflowPunct w:val="0"/>
              <w:adjustRightInd w:val="0"/>
              <w:outlineLvl w:val="0"/>
              <w:rPr>
                <w:rFonts w:eastAsia="楷体_GB2312"/>
                <w:b w:val="0"/>
                <w:bCs/>
                <w:sz w:val="32"/>
                <w:szCs w:val="32"/>
              </w:rPr>
            </w:pPr>
            <w:r>
              <w:rPr>
                <w:rFonts w:hint="eastAsia" w:eastAsia="楷体_GB2312"/>
                <w:b w:val="0"/>
                <w:bCs/>
                <w:sz w:val="32"/>
                <w:szCs w:val="32"/>
              </w:rPr>
              <w:t>音箱</w:t>
            </w:r>
          </w:p>
        </w:tc>
        <w:tc>
          <w:tcPr>
            <w:tcW w:w="1276" w:type="dxa"/>
            <w:vMerge w:val="continue"/>
          </w:tcPr>
          <w:p>
            <w:pPr>
              <w:overflowPunct w:val="0"/>
              <w:adjustRightInd w:val="0"/>
              <w:outlineLvl w:val="0"/>
              <w:rPr>
                <w:rFonts w:eastAsia="楷体_GB2312"/>
                <w:b w:val="0"/>
                <w:bCs/>
                <w:sz w:val="32"/>
                <w:szCs w:val="32"/>
              </w:rPr>
            </w:pPr>
          </w:p>
        </w:tc>
        <w:tc>
          <w:tcPr>
            <w:tcW w:w="1701" w:type="dxa"/>
          </w:tcPr>
          <w:p>
            <w:pPr>
              <w:overflowPunct w:val="0"/>
              <w:adjustRightInd w:val="0"/>
              <w:outlineLvl w:val="0"/>
              <w:rPr>
                <w:rFonts w:eastAsia="楷体_GB2312"/>
                <w:b w:val="0"/>
                <w:bCs/>
                <w:sz w:val="32"/>
                <w:szCs w:val="32"/>
              </w:rPr>
            </w:pPr>
            <w:r>
              <w:rPr>
                <w:rFonts w:hint="eastAsia" w:eastAsia="楷体_GB2312"/>
                <w:b w:val="0"/>
                <w:bCs/>
                <w:sz w:val="32"/>
                <w:szCs w:val="32"/>
              </w:rPr>
              <w:t>2对</w:t>
            </w:r>
          </w:p>
        </w:tc>
        <w:tc>
          <w:tcPr>
            <w:tcW w:w="2602" w:type="dxa"/>
          </w:tcPr>
          <w:p>
            <w:pPr>
              <w:overflowPunct w:val="0"/>
              <w:adjustRightInd w:val="0"/>
              <w:outlineLvl w:val="0"/>
              <w:rPr>
                <w:rFonts w:eastAsia="楷体_GB2312"/>
                <w:b w:val="0"/>
                <w:bCs/>
                <w:sz w:val="32"/>
                <w:szCs w:val="32"/>
              </w:rPr>
            </w:pPr>
            <w:r>
              <w:rPr>
                <w:rFonts w:hint="eastAsia" w:eastAsia="楷体_GB2312"/>
                <w:b w:val="0"/>
                <w:bCs/>
                <w:sz w:val="32"/>
                <w:szCs w:val="32"/>
              </w:rPr>
              <w:t>新尊美PA282,8寸，100W*2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overflowPunct w:val="0"/>
              <w:adjustRightInd w:val="0"/>
              <w:outlineLvl w:val="0"/>
              <w:rPr>
                <w:rFonts w:eastAsia="楷体_GB2312"/>
                <w:b w:val="0"/>
                <w:bCs/>
                <w:sz w:val="32"/>
                <w:szCs w:val="32"/>
              </w:rPr>
            </w:pPr>
            <w:r>
              <w:rPr>
                <w:rFonts w:hint="eastAsia" w:eastAsia="楷体_GB2312"/>
                <w:b w:val="0"/>
                <w:bCs/>
                <w:sz w:val="32"/>
                <w:szCs w:val="32"/>
              </w:rPr>
              <w:t>6</w:t>
            </w:r>
          </w:p>
        </w:tc>
        <w:tc>
          <w:tcPr>
            <w:tcW w:w="1984" w:type="dxa"/>
          </w:tcPr>
          <w:p>
            <w:pPr>
              <w:overflowPunct w:val="0"/>
              <w:adjustRightInd w:val="0"/>
              <w:outlineLvl w:val="0"/>
              <w:rPr>
                <w:rFonts w:eastAsia="楷体_GB2312"/>
                <w:b w:val="0"/>
                <w:bCs/>
                <w:sz w:val="32"/>
                <w:szCs w:val="32"/>
              </w:rPr>
            </w:pPr>
            <w:r>
              <w:rPr>
                <w:rFonts w:hint="eastAsia" w:eastAsia="楷体_GB2312"/>
                <w:b w:val="0"/>
                <w:bCs/>
                <w:sz w:val="32"/>
                <w:szCs w:val="32"/>
              </w:rPr>
              <w:t>功放</w:t>
            </w:r>
          </w:p>
        </w:tc>
        <w:tc>
          <w:tcPr>
            <w:tcW w:w="1276" w:type="dxa"/>
            <w:vMerge w:val="continue"/>
          </w:tcPr>
          <w:p>
            <w:pPr>
              <w:overflowPunct w:val="0"/>
              <w:adjustRightInd w:val="0"/>
              <w:outlineLvl w:val="0"/>
              <w:rPr>
                <w:rFonts w:eastAsia="楷体_GB2312"/>
                <w:b w:val="0"/>
                <w:bCs/>
                <w:sz w:val="32"/>
                <w:szCs w:val="32"/>
              </w:rPr>
            </w:pPr>
          </w:p>
        </w:tc>
        <w:tc>
          <w:tcPr>
            <w:tcW w:w="1701" w:type="dxa"/>
          </w:tcPr>
          <w:p>
            <w:pPr>
              <w:overflowPunct w:val="0"/>
              <w:adjustRightInd w:val="0"/>
              <w:outlineLvl w:val="0"/>
              <w:rPr>
                <w:rFonts w:eastAsia="楷体_GB2312"/>
                <w:b w:val="0"/>
                <w:bCs/>
                <w:sz w:val="32"/>
                <w:szCs w:val="32"/>
              </w:rPr>
            </w:pPr>
            <w:r>
              <w:rPr>
                <w:rFonts w:hint="eastAsia" w:eastAsia="楷体_GB2312"/>
                <w:b w:val="0"/>
                <w:bCs/>
                <w:sz w:val="32"/>
                <w:szCs w:val="32"/>
              </w:rPr>
              <w:t>1台</w:t>
            </w:r>
          </w:p>
        </w:tc>
        <w:tc>
          <w:tcPr>
            <w:tcW w:w="2602" w:type="dxa"/>
          </w:tcPr>
          <w:p>
            <w:pPr>
              <w:overflowPunct w:val="0"/>
              <w:adjustRightInd w:val="0"/>
              <w:outlineLvl w:val="0"/>
              <w:rPr>
                <w:rFonts w:eastAsia="楷体_GB2312"/>
                <w:b w:val="0"/>
                <w:bCs/>
                <w:sz w:val="32"/>
                <w:szCs w:val="32"/>
              </w:rPr>
            </w:pPr>
            <w:r>
              <w:rPr>
                <w:rFonts w:hint="eastAsia" w:eastAsia="楷体_GB2312"/>
                <w:b w:val="0"/>
                <w:bCs/>
                <w:sz w:val="32"/>
                <w:szCs w:val="32"/>
              </w:rPr>
              <w:t>日高KB-9100,300w</w:t>
            </w:r>
          </w:p>
        </w:tc>
      </w:tr>
    </w:tbl>
    <w:p>
      <w:pPr>
        <w:overflowPunct w:val="0"/>
        <w:adjustRightInd w:val="0"/>
        <w:ind w:firstLine="640" w:firstLineChars="200"/>
        <w:outlineLvl w:val="0"/>
        <w:rPr>
          <w:rFonts w:eastAsia="楷体_GB2312"/>
          <w:b w:val="0"/>
          <w:bCs/>
          <w:sz w:val="32"/>
          <w:szCs w:val="32"/>
        </w:rPr>
      </w:pPr>
      <w:r>
        <w:rPr>
          <w:rFonts w:hint="eastAsia" w:eastAsia="楷体_GB2312"/>
          <w:b w:val="0"/>
          <w:bCs/>
          <w:sz w:val="32"/>
          <w:szCs w:val="32"/>
        </w:rPr>
        <w:t>2.校内实训基地</w:t>
      </w:r>
    </w:p>
    <w:p>
      <w:pPr>
        <w:spacing w:line="560" w:lineRule="exact"/>
        <w:ind w:firstLine="640" w:firstLineChars="200"/>
        <w:rPr>
          <w:rFonts w:ascii="仿宋_GB2312" w:hAnsi="宋体" w:eastAsia="仿宋_GB2312"/>
          <w:b w:val="0"/>
          <w:bCs/>
          <w:sz w:val="32"/>
          <w:szCs w:val="32"/>
        </w:rPr>
      </w:pPr>
      <w:r>
        <w:rPr>
          <w:rFonts w:hint="eastAsia" w:ascii="仿宋_GB2312" w:hAnsi="宋体" w:eastAsia="仿宋_GB2312"/>
          <w:b w:val="0"/>
          <w:bCs/>
          <w:sz w:val="32"/>
          <w:szCs w:val="32"/>
        </w:rPr>
        <w:t>学校建有教育学专业实训基地1个，可以承担钢琴、舞蹈、声乐等多门课程的实训教学任务。</w:t>
      </w:r>
    </w:p>
    <w:p>
      <w:pPr>
        <w:spacing w:line="560" w:lineRule="exact"/>
        <w:ind w:firstLine="640" w:firstLineChars="200"/>
        <w:rPr>
          <w:rFonts w:ascii="仿宋_GB2312" w:hAnsi="宋体" w:eastAsia="仿宋_GB2312"/>
          <w:b w:val="0"/>
          <w:bCs/>
          <w:sz w:val="32"/>
          <w:szCs w:val="32"/>
        </w:rPr>
      </w:pPr>
      <w:r>
        <w:rPr>
          <w:rFonts w:hint="eastAsia" w:ascii="仿宋_GB2312" w:hAnsi="宋体" w:eastAsia="仿宋_GB2312"/>
          <w:b w:val="0"/>
          <w:bCs/>
          <w:sz w:val="32"/>
          <w:szCs w:val="32"/>
        </w:rPr>
        <w:t>共建设有声乐教室7口、舞蹈教室5口，学生琴房117口，数码琴房3口，画室6口，语音教室1口，微机室5个，多功能厅3口，体育场2个，图书馆1座。配备钢琴124架，数码钢琴152架，微机200台，数控一体机50套，用于专业实践课教学，提高学生的专业技能。</w:t>
      </w:r>
    </w:p>
    <w:p>
      <w:pPr>
        <w:overflowPunct w:val="0"/>
        <w:adjustRightInd w:val="0"/>
        <w:ind w:firstLine="640" w:firstLineChars="200"/>
        <w:outlineLvl w:val="0"/>
        <w:rPr>
          <w:rFonts w:eastAsia="楷体_GB2312"/>
          <w:b w:val="0"/>
          <w:bCs/>
          <w:sz w:val="32"/>
          <w:szCs w:val="32"/>
        </w:rPr>
      </w:pPr>
      <w:r>
        <w:rPr>
          <w:rFonts w:hint="eastAsia" w:eastAsia="楷体_GB2312"/>
          <w:b w:val="0"/>
          <w:bCs/>
          <w:sz w:val="32"/>
          <w:szCs w:val="32"/>
        </w:rPr>
        <w:t>3.校外实训基地</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本专业对校外实训基地的基本要求是:企业规模大、效益好、专业对口、技术先进、管理规范，给学生提供的实习岗位符合培养高素质技术技能人才要求，且与就业挂钩。通过校企合作，本专业教学团队与</w:t>
      </w:r>
      <w:r>
        <w:rPr>
          <w:rFonts w:hint="eastAsia" w:ascii="仿宋_GB2312" w:hAnsi="宋体" w:eastAsia="仿宋_GB2312"/>
          <w:sz w:val="32"/>
          <w:szCs w:val="32"/>
        </w:rPr>
        <w:t>xx</w:t>
      </w:r>
      <w:r>
        <w:rPr>
          <w:rFonts w:ascii="仿宋_GB2312" w:hAnsi="宋体" w:eastAsia="仿宋_GB2312"/>
          <w:sz w:val="32"/>
          <w:szCs w:val="32"/>
        </w:rPr>
        <w:t>小学等多家具有优质教学质量的小学签订合作协议，建成稳定的校外实训基地。</w:t>
      </w:r>
    </w:p>
    <w:p>
      <w:pPr>
        <w:overflowPunct w:val="0"/>
        <w:adjustRightInd w:val="0"/>
        <w:ind w:firstLine="640" w:firstLineChars="200"/>
        <w:outlineLvl w:val="0"/>
        <w:rPr>
          <w:rFonts w:eastAsia="楷体_GB2312"/>
          <w:b w:val="0"/>
          <w:bCs/>
          <w:sz w:val="32"/>
          <w:szCs w:val="32"/>
        </w:rPr>
      </w:pPr>
      <w:r>
        <w:rPr>
          <w:rFonts w:eastAsia="楷体_GB2312"/>
          <w:b w:val="0"/>
          <w:bCs/>
          <w:sz w:val="32"/>
          <w:szCs w:val="32"/>
        </w:rPr>
        <w:t>（三）教学资源</w:t>
      </w:r>
    </w:p>
    <w:p>
      <w:pPr>
        <w:spacing w:line="560" w:lineRule="exact"/>
        <w:ind w:firstLine="640" w:firstLineChars="200"/>
        <w:rPr>
          <w:rFonts w:eastAsia="楷体_GB2312"/>
          <w:b w:val="0"/>
          <w:bCs/>
          <w:sz w:val="32"/>
          <w:szCs w:val="32"/>
        </w:rPr>
      </w:pPr>
      <w:r>
        <w:rPr>
          <w:rFonts w:hint="eastAsia" w:eastAsia="楷体_GB2312"/>
          <w:b w:val="0"/>
          <w:bCs/>
          <w:sz w:val="32"/>
          <w:szCs w:val="32"/>
        </w:rPr>
        <w:t>1.</w:t>
      </w:r>
      <w:r>
        <w:rPr>
          <w:rFonts w:eastAsia="楷体_GB2312"/>
          <w:b w:val="0"/>
          <w:bCs/>
          <w:sz w:val="32"/>
          <w:szCs w:val="32"/>
        </w:rPr>
        <w:t>教材使用及开发</w:t>
      </w:r>
    </w:p>
    <w:p>
      <w:pPr>
        <w:spacing w:line="560" w:lineRule="exact"/>
        <w:ind w:firstLine="640" w:firstLineChars="200"/>
        <w:rPr>
          <w:rFonts w:ascii="仿宋_GB2312" w:hAnsi="宋体" w:eastAsia="仿宋_GB2312"/>
          <w:b w:val="0"/>
          <w:bCs/>
          <w:sz w:val="32"/>
          <w:szCs w:val="32"/>
        </w:rPr>
      </w:pPr>
      <w:r>
        <w:rPr>
          <w:rFonts w:ascii="仿宋_GB2312" w:hAnsi="宋体" w:eastAsia="仿宋_GB2312"/>
          <w:b w:val="0"/>
          <w:bCs/>
          <w:sz w:val="32"/>
          <w:szCs w:val="32"/>
        </w:rPr>
        <w:t>教材选用近三年出版的普通高等教育国家级规划教材、行业部委指定教材、省级规划教材、获奖教材和校本教材</w:t>
      </w:r>
    </w:p>
    <w:p>
      <w:pPr>
        <w:spacing w:line="560" w:lineRule="exact"/>
        <w:ind w:firstLine="640" w:firstLineChars="200"/>
        <w:rPr>
          <w:rFonts w:ascii="仿宋_GB2312" w:hAnsi="宋体" w:eastAsia="仿宋_GB2312"/>
          <w:b w:val="0"/>
          <w:bCs/>
          <w:sz w:val="32"/>
          <w:szCs w:val="32"/>
        </w:rPr>
      </w:pPr>
      <w:r>
        <w:rPr>
          <w:rFonts w:hint="eastAsia" w:eastAsia="楷体_GB2312"/>
          <w:b w:val="0"/>
          <w:bCs/>
          <w:sz w:val="32"/>
          <w:szCs w:val="32"/>
        </w:rPr>
        <w:t>2.</w:t>
      </w:r>
      <w:r>
        <w:rPr>
          <w:rFonts w:eastAsia="楷体_GB2312"/>
          <w:b w:val="0"/>
          <w:bCs/>
          <w:sz w:val="32"/>
          <w:szCs w:val="32"/>
        </w:rPr>
        <w:t>图书资料</w:t>
      </w:r>
    </w:p>
    <w:p>
      <w:pPr>
        <w:spacing w:line="560" w:lineRule="exact"/>
        <w:ind w:firstLine="640" w:firstLineChars="200"/>
        <w:rPr>
          <w:rFonts w:ascii="仿宋_GB2312" w:hAnsi="宋体" w:eastAsia="仿宋_GB2312"/>
          <w:b w:val="0"/>
          <w:bCs/>
          <w:sz w:val="32"/>
          <w:szCs w:val="32"/>
        </w:rPr>
      </w:pPr>
      <w:r>
        <w:rPr>
          <w:rFonts w:ascii="仿宋_GB2312" w:hAnsi="宋体" w:eastAsia="仿宋_GB2312"/>
          <w:b w:val="0"/>
          <w:bCs/>
          <w:sz w:val="32"/>
          <w:szCs w:val="32"/>
        </w:rPr>
        <w:t>为使学生能够多渠道获得专业知识，加强图书资料建设非常必要。为此，我</w:t>
      </w:r>
      <w:r>
        <w:rPr>
          <w:rFonts w:hint="eastAsia" w:ascii="仿宋_GB2312" w:hAnsi="宋体" w:eastAsia="仿宋_GB2312"/>
          <w:b w:val="0"/>
          <w:bCs/>
          <w:sz w:val="32"/>
          <w:szCs w:val="32"/>
        </w:rPr>
        <w:t>校</w:t>
      </w:r>
      <w:r>
        <w:rPr>
          <w:rFonts w:ascii="仿宋_GB2312" w:hAnsi="宋体" w:eastAsia="仿宋_GB2312"/>
          <w:b w:val="0"/>
          <w:bCs/>
          <w:sz w:val="32"/>
          <w:szCs w:val="32"/>
        </w:rPr>
        <w:t>购置了大量的专业书籍和报刊，建设了数字化期刊网，全文查阅维普(VIP)及中国知网(CNKI)数据库中的多种中文科技期刊可以做到师生共享。并在网上开通了超星数字图书馆，实现了电子期刊和电子图书的在线查阅，充分发挥了图书资料在教学中的重要作用。</w:t>
      </w:r>
    </w:p>
    <w:p>
      <w:pPr>
        <w:spacing w:line="560" w:lineRule="exact"/>
        <w:ind w:firstLine="640" w:firstLineChars="200"/>
        <w:rPr>
          <w:rFonts w:eastAsia="楷体_GB2312"/>
          <w:b w:val="0"/>
          <w:bCs/>
          <w:sz w:val="32"/>
          <w:szCs w:val="32"/>
        </w:rPr>
      </w:pPr>
      <w:r>
        <w:rPr>
          <w:rFonts w:hint="eastAsia" w:eastAsia="楷体_GB2312"/>
          <w:b w:val="0"/>
          <w:bCs/>
          <w:sz w:val="32"/>
          <w:szCs w:val="32"/>
        </w:rPr>
        <w:t>3.</w:t>
      </w:r>
      <w:bookmarkStart w:id="4" w:name="_Toc265_WPSOffice_Level3"/>
      <w:r>
        <w:rPr>
          <w:rFonts w:hint="eastAsia" w:eastAsia="楷体_GB2312"/>
          <w:b w:val="0"/>
          <w:bCs/>
          <w:sz w:val="32"/>
          <w:szCs w:val="32"/>
        </w:rPr>
        <w:t>完善精品课程的建设</w:t>
      </w:r>
      <w:bookmarkEnd w:id="4"/>
    </w:p>
    <w:p>
      <w:pPr>
        <w:overflowPunct w:val="0"/>
        <w:adjustRightInd w:val="0"/>
        <w:ind w:firstLine="640" w:firstLineChars="200"/>
        <w:outlineLvl w:val="0"/>
        <w:rPr>
          <w:rFonts w:ascii="仿宋_GB2312" w:hAnsi="仿宋" w:eastAsia="仿宋_GB2312" w:cs="宋体"/>
          <w:b w:val="0"/>
          <w:bCs/>
          <w:color w:val="000000" w:themeColor="text1"/>
          <w:kern w:val="0"/>
          <w:sz w:val="32"/>
          <w:szCs w:val="32"/>
        </w:rPr>
      </w:pPr>
      <w:r>
        <w:rPr>
          <w:rFonts w:hint="eastAsia" w:ascii="仿宋_GB2312" w:hAnsi="仿宋" w:eastAsia="仿宋_GB2312" w:cs="宋体"/>
          <w:b w:val="0"/>
          <w:bCs/>
          <w:color w:val="000000" w:themeColor="text1"/>
          <w:kern w:val="0"/>
          <w:sz w:val="32"/>
          <w:szCs w:val="32"/>
        </w:rPr>
        <w:t>在模块化课程体系基础上，完善实践教学环境，重新定位本专业的核心课程，重点建设本专业的精品课程。逐步优化课程结构和课程体系，创新教学内容。</w:t>
      </w:r>
    </w:p>
    <w:p>
      <w:pPr>
        <w:spacing w:line="560" w:lineRule="exact"/>
        <w:ind w:firstLine="640" w:firstLineChars="200"/>
        <w:rPr>
          <w:rFonts w:eastAsia="楷体_GB2312"/>
          <w:b w:val="0"/>
          <w:bCs/>
          <w:sz w:val="32"/>
          <w:szCs w:val="32"/>
        </w:rPr>
      </w:pPr>
      <w:bookmarkStart w:id="5" w:name="_Toc19800_WPSOffice_Level3"/>
      <w:r>
        <w:rPr>
          <w:rFonts w:hint="eastAsia" w:eastAsia="楷体_GB2312"/>
          <w:b w:val="0"/>
          <w:bCs/>
          <w:sz w:val="32"/>
          <w:szCs w:val="32"/>
        </w:rPr>
        <w:t>4.完善专业校本教材及配套教学资源的建设</w:t>
      </w:r>
      <w:bookmarkEnd w:id="5"/>
    </w:p>
    <w:p>
      <w:pPr>
        <w:overflowPunct w:val="0"/>
        <w:adjustRightInd w:val="0"/>
        <w:ind w:firstLine="640" w:firstLineChars="200"/>
        <w:outlineLvl w:val="0"/>
        <w:rPr>
          <w:rFonts w:ascii="仿宋_GB2312" w:hAnsi="仿宋" w:eastAsia="仿宋_GB2312" w:cs="宋体"/>
          <w:color w:val="000000" w:themeColor="text1"/>
          <w:kern w:val="0"/>
          <w:sz w:val="32"/>
          <w:szCs w:val="32"/>
        </w:rPr>
      </w:pPr>
      <w:r>
        <w:rPr>
          <w:rFonts w:hint="eastAsia" w:ascii="仿宋_GB2312" w:hAnsi="仿宋" w:eastAsia="仿宋_GB2312" w:cs="宋体"/>
          <w:b w:val="0"/>
          <w:bCs/>
          <w:color w:val="000000" w:themeColor="text1"/>
          <w:kern w:val="0"/>
          <w:sz w:val="32"/>
          <w:szCs w:val="32"/>
        </w:rPr>
        <w:t>围绕我校本专业对技能人才的要求，改革我校教学体系，构建以就业为导向，以校企合作为基础，以学生为中心，以工作任务为载体，以能力为本位</w:t>
      </w:r>
      <w:r>
        <w:rPr>
          <w:rFonts w:hint="eastAsia" w:ascii="仿宋_GB2312" w:hAnsi="仿宋" w:eastAsia="仿宋_GB2312" w:cs="宋体"/>
          <w:color w:val="000000" w:themeColor="text1"/>
          <w:kern w:val="0"/>
          <w:sz w:val="32"/>
          <w:szCs w:val="32"/>
        </w:rPr>
        <w:t>，以岗位需要和职业标准为依据，建设理论教学与实践操作融合贯通的新课程。满足学生职业生涯发展的需求，适应社会经济发展和科技进步的需要，逐步完善本专业的教材和教学资源建设。</w:t>
      </w:r>
    </w:p>
    <w:p>
      <w:pPr>
        <w:spacing w:line="560" w:lineRule="exact"/>
        <w:ind w:firstLine="640" w:firstLineChars="200"/>
        <w:rPr>
          <w:rFonts w:eastAsia="楷体_GB2312"/>
          <w:b w:val="0"/>
          <w:bCs/>
          <w:sz w:val="32"/>
          <w:szCs w:val="32"/>
        </w:rPr>
      </w:pPr>
      <w:bookmarkStart w:id="6" w:name="_Toc23480_WPSOffice_Level3"/>
      <w:r>
        <w:rPr>
          <w:rFonts w:hint="eastAsia" w:eastAsia="楷体_GB2312"/>
          <w:b w:val="0"/>
          <w:bCs/>
          <w:sz w:val="32"/>
          <w:szCs w:val="32"/>
        </w:rPr>
        <w:t>5.校企共建本专业的教学信息资源库</w:t>
      </w:r>
      <w:bookmarkEnd w:id="6"/>
    </w:p>
    <w:p>
      <w:pPr>
        <w:overflowPunct w:val="0"/>
        <w:adjustRightInd w:val="0"/>
        <w:ind w:firstLine="640" w:firstLineChars="200"/>
        <w:outlineLvl w:val="0"/>
        <w:rPr>
          <w:rFonts w:ascii="仿宋_GB2312" w:hAnsi="仿宋" w:eastAsia="仿宋_GB2312" w:cs="宋体"/>
          <w:b w:val="0"/>
          <w:bCs/>
          <w:color w:val="000000" w:themeColor="text1"/>
          <w:kern w:val="0"/>
          <w:sz w:val="32"/>
          <w:szCs w:val="32"/>
        </w:rPr>
      </w:pPr>
      <w:r>
        <w:rPr>
          <w:rFonts w:hint="eastAsia" w:ascii="仿宋_GB2312" w:hAnsi="仿宋" w:eastAsia="仿宋_GB2312" w:cs="宋体"/>
          <w:b w:val="0"/>
          <w:bCs/>
          <w:color w:val="000000" w:themeColor="text1"/>
          <w:kern w:val="0"/>
          <w:sz w:val="32"/>
          <w:szCs w:val="32"/>
        </w:rPr>
        <w:t>通过与企业合作建设或购买，重点建设本专业主要课程的数字化资源，并以此促进和提升信息化教学资源建设进度和水平，鼓励师生使用资源库，提高教师利用现代教育手段的能力。</w:t>
      </w:r>
    </w:p>
    <w:p>
      <w:pPr>
        <w:spacing w:line="500" w:lineRule="exact"/>
        <w:ind w:firstLine="640" w:firstLineChars="200"/>
        <w:outlineLvl w:val="2"/>
        <w:rPr>
          <w:rFonts w:eastAsia="楷体_GB2312"/>
          <w:b w:val="0"/>
          <w:bCs/>
          <w:sz w:val="32"/>
          <w:szCs w:val="32"/>
        </w:rPr>
      </w:pPr>
      <w:bookmarkStart w:id="7" w:name="_Toc10404_WPSOffice_Level3"/>
      <w:r>
        <w:rPr>
          <w:rFonts w:hint="eastAsia" w:eastAsia="楷体_GB2312"/>
          <w:b w:val="0"/>
          <w:bCs/>
          <w:sz w:val="32"/>
          <w:szCs w:val="32"/>
        </w:rPr>
        <w:t>6.教学辅助材料</w:t>
      </w:r>
      <w:bookmarkEnd w:id="7"/>
    </w:p>
    <w:p>
      <w:pPr>
        <w:overflowPunct w:val="0"/>
        <w:adjustRightInd w:val="0"/>
        <w:ind w:firstLine="640" w:firstLineChars="200"/>
        <w:outlineLvl w:val="0"/>
        <w:rPr>
          <w:rFonts w:eastAsia="楷体_GB2312"/>
          <w:b/>
          <w:sz w:val="32"/>
          <w:szCs w:val="32"/>
        </w:rPr>
      </w:pPr>
      <w:r>
        <w:rPr>
          <w:rFonts w:hint="eastAsia" w:ascii="仿宋_GB2312" w:hAnsi="仿宋" w:eastAsia="仿宋_GB2312" w:cs="宋体"/>
          <w:b w:val="0"/>
          <w:bCs/>
          <w:color w:val="000000" w:themeColor="text1"/>
          <w:kern w:val="0"/>
          <w:sz w:val="32"/>
          <w:szCs w:val="32"/>
        </w:rPr>
        <w:t>多媒体教学信息容</w:t>
      </w:r>
      <w:r>
        <w:rPr>
          <w:rFonts w:hint="eastAsia" w:ascii="仿宋_GB2312" w:hAnsi="仿宋" w:eastAsia="仿宋_GB2312" w:cs="宋体"/>
          <w:color w:val="000000" w:themeColor="text1"/>
          <w:kern w:val="0"/>
          <w:sz w:val="32"/>
          <w:szCs w:val="32"/>
        </w:rPr>
        <w:t>量大，节约了空间和时间，提高了教学效率。充分发挥多媒体教学的优势，促进多媒体教学课件制作，针对教学难点，开发多媒体“数据资源库”教学平台，为全面提高教学质量提供高质量的教学辅助材料。</w:t>
      </w:r>
    </w:p>
    <w:p>
      <w:pPr>
        <w:overflowPunct w:val="0"/>
        <w:adjustRightInd w:val="0"/>
        <w:ind w:firstLine="640" w:firstLineChars="200"/>
        <w:outlineLvl w:val="0"/>
        <w:rPr>
          <w:rFonts w:hint="eastAsia" w:eastAsia="楷体_GB2312"/>
          <w:b w:val="0"/>
          <w:bCs/>
          <w:sz w:val="32"/>
          <w:szCs w:val="32"/>
        </w:rPr>
      </w:pPr>
      <w:r>
        <w:rPr>
          <w:rFonts w:hint="eastAsia" w:eastAsia="楷体_GB2312"/>
          <w:b w:val="0"/>
          <w:bCs/>
          <w:sz w:val="32"/>
          <w:szCs w:val="32"/>
        </w:rPr>
        <w:t>（四）教学方法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1.项目教学法。通过“项目”的形式进行教学，以学生为中心，先练后讲，先学后教，强调学生的自主学习，主动参与，从尝试入手，从练习开始，调动学生学习的主动性、创造性、积极性，加强对学生自学能力、创新能力的培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2.行动导向法。以学生为主体，通过收集信息阶段、制定工作计划阶段、决定阶段、实施阶段、检查阶段和评估阶段等六个过程，逐步培养学生主动参与学习。学生在获取专业知识的同时，其思维和行为方法、动手能力和技能、习惯和行动标准及直觉经历、需求调节、团队合作等方面的素质也得到综合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还可考虑任务驱动法、讲授法、角色扮演法等多种教学方法，以充分调动学生学习的积极性和主动性，提高学生学习的兴趣，以达到教学质量的提高。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3.此外，将多种形式的现代化教学手段灵活运用，融“教”、“学”、“做”为一体；开放综合实训室，使学生有更多的时间进行技能训练，提高学生发现问题、分析问题和解决问题的能力；通过课外讲座、开办第二课堂，培养学生的团队精神、敬业精神，提高学生的应用能力和综合素质。</w:t>
      </w:r>
    </w:p>
    <w:p>
      <w:pPr>
        <w:overflowPunct w:val="0"/>
        <w:adjustRightInd w:val="0"/>
        <w:ind w:firstLine="640" w:firstLineChars="200"/>
        <w:outlineLvl w:val="0"/>
        <w:rPr>
          <w:rFonts w:hint="eastAsia" w:eastAsia="楷体_GB2312"/>
          <w:b w:val="0"/>
          <w:bCs/>
          <w:sz w:val="32"/>
          <w:szCs w:val="32"/>
        </w:rPr>
      </w:pPr>
      <w:r>
        <w:rPr>
          <w:rFonts w:hint="eastAsia" w:eastAsia="楷体_GB2312"/>
          <w:b w:val="0"/>
          <w:bCs/>
          <w:sz w:val="32"/>
          <w:szCs w:val="32"/>
        </w:rPr>
        <w:t>（五）学习评价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1.建立学校考核+行业考核+社会考核相结合的考核评价机制。建立多元化、灵活的考核模式。重点检测学生的基础知识、综合素质、专业能力和职业能力。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2.公共基础课程重在考核学生的基础知识和基本的应用能力，可采取平时过程考核+综合基础知识笔试考核+综合应用能力考核+其他考核（知识竞赛、手抄报等形式）等相结合的考核模式。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3.专业教育课程重在考核学生的专业基础知识和应用能力，可采取平时过程考核+期终综合考核、平时过程考核+大作业等考核模式。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4.教师教育课程重在考核学生的专业基础知识和应用能力，可采取平时过程考核+综合考核、平时过程考核+专业理论考核+社会实践考核、毕业设计等相结合的考核模式。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5.实习过程考核由实习单位进行考核，该考核结论作为学生实习成绩的重要依据，实习单位指导教师如实评定成绩。学生必须在规定的外出实习期限内（外出实习时间为1年）把顶岗实习指导书交回学校招生就业培训处。专业组将组织专业教师对学生的个人计划、日记、个人总结等进行认真地鉴定，得出实习结果。实习手册中凡需有用人单位盖章的地方要单位加盖公章以证明其真实性。</w:t>
      </w:r>
    </w:p>
    <w:p>
      <w:pPr>
        <w:overflowPunct w:val="0"/>
        <w:adjustRightInd w:val="0"/>
        <w:ind w:firstLine="640" w:firstLineChars="200"/>
        <w:outlineLvl w:val="0"/>
        <w:rPr>
          <w:rFonts w:hint="eastAsia" w:eastAsia="楷体_GB2312"/>
          <w:b w:val="0"/>
          <w:bCs/>
          <w:sz w:val="32"/>
          <w:szCs w:val="32"/>
        </w:rPr>
      </w:pPr>
      <w:r>
        <w:rPr>
          <w:rFonts w:hint="eastAsia" w:eastAsia="楷体_GB2312"/>
          <w:b w:val="0"/>
          <w:bCs/>
          <w:sz w:val="32"/>
          <w:szCs w:val="32"/>
        </w:rPr>
        <w:t>（六）质量管理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1.组织领导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建立多元化教师发展中心导师团并健全导师团工作机制。完善教师发展机制建设，明确各级教师发展机构的功能与职责，确保全校上下有统一认识与统一行动，共同完成本校教师发展工作的落实，着力推进教师实现自我可持续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2.经费保障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学校为教师在职培训进修、兼职教师聘任、培训专家教授聘请、“双师型”教师研修基地建设、名师工程建设等项目专设资金预算与运行保障制度，保证教师发展体制建设过程中的经费需求。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3.构建学校、用人单位共同参与的人才培养质量保障实施机构和审核机构。学校成立由企业专家参与的质量保障实施机构和质量保障审核机构。实施机构包括实施决策机构和实施管理机构，决策机构由学校和企事业单位的专家组成，分析影响学校人才培养质量的因素，针对影响因素制定相应标准和实施方案， 提出控制方法和监控程序，对实施过程中产生的偏差制定整改方案。学校成立实施管理机构，对影响人才培养质量关键因素的实施方案以及实施过程进行监督检查和管理。教学质量审核机构首先要制定审核措施，审核关键影响因素的确定、建设标准或建设指导意见、实施方案、监控措施、整改方案是否得当，以及监督实施机构的工作，保证人才培养质量保障体系的正常运行。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4.完善质量监控体系，构建人才培养质量网络</w:t>
      </w:r>
      <w:r>
        <w:rPr>
          <w:rFonts w:hint="eastAsia" w:ascii="仿宋_GB2312" w:hAnsi="宋体" w:eastAsia="仿宋_GB2312" w:cs="宋体"/>
          <w:color w:val="000000"/>
          <w:sz w:val="32"/>
          <w:szCs w:val="32"/>
        </w:rPr>
        <w:br w:type="textWrapping"/>
      </w:r>
      <w:r>
        <w:rPr>
          <w:rFonts w:hint="eastAsia" w:ascii="仿宋_GB2312" w:hAnsi="宋体" w:eastAsia="仿宋_GB2312" w:cs="宋体"/>
          <w:color w:val="000000"/>
          <w:sz w:val="32"/>
          <w:szCs w:val="32"/>
        </w:rPr>
        <w:t>   构建全新的基于现代网络技术的教学过程管理与评价系统、教师教学质量评价系统、人才培养质量社会评价系统、 工学结合实习和顶岗实习质量监控与评价系统等。在构建了评价与反馈体系后，为体现办学的开放性和人才培养质量保障的全过程、全方位、全员性，应充分利用网络技术时域的开放性特点，加强对网络评价、反馈的开发与应用，形成既符合学校办学要求又具有学校特色的人才培养质量保障网络平台，使社会评价、教学过程评价、实习评价在时空上得以延伸，全过程、全方位、全员性的人才培养质量保障体系得以实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5.完善评价与反馈机制。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根据学前教育专业培养目标和以人为本的发展理念，建立科学的评价标准。对人才培养质量的评价应逐步形成学校教师教学质量评价、学生学习效果评价、学生综合素质评价和社会评价相结合的机制，具体内容包括：</w:t>
      </w:r>
      <w:bookmarkStart w:id="8" w:name="_Hlk7717207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①</w:t>
      </w:r>
      <w:bookmarkEnd w:id="8"/>
      <w:r>
        <w:rPr>
          <w:rFonts w:hint="eastAsia" w:ascii="仿宋_GB2312" w:hAnsi="宋体" w:eastAsia="仿宋_GB2312" w:cs="宋体"/>
          <w:color w:val="000000"/>
          <w:sz w:val="32"/>
          <w:szCs w:val="32"/>
        </w:rPr>
        <w:t>完善学校教师教学质量评价、学生学习效果评价和教学信息收集与反馈机制，建立健全管理制度和相关的激励机制；</w:t>
      </w:r>
      <w:bookmarkStart w:id="9" w:name="_Hlk7717210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②</w:t>
      </w:r>
      <w:bookmarkEnd w:id="9"/>
      <w:r>
        <w:rPr>
          <w:rFonts w:hint="eastAsia" w:ascii="仿宋_GB2312" w:hAnsi="宋体" w:eastAsia="仿宋_GB2312" w:cs="宋体"/>
          <w:color w:val="000000"/>
          <w:sz w:val="32"/>
          <w:szCs w:val="32"/>
        </w:rPr>
        <w:t>建立由用人单位、毕业生家长、毕业生三方组成的社会评价机制，开展相应的主体调查；</w:t>
      </w:r>
      <w:bookmarkStart w:id="10" w:name="_Hlk7717220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③</w:t>
      </w:r>
      <w:bookmarkEnd w:id="10"/>
      <w:r>
        <w:rPr>
          <w:rFonts w:hint="eastAsia" w:ascii="仿宋_GB2312" w:hAnsi="宋体" w:eastAsia="仿宋_GB2312" w:cs="宋体"/>
          <w:color w:val="000000"/>
          <w:sz w:val="32"/>
          <w:szCs w:val="32"/>
        </w:rPr>
        <w:t>学生参加公益活动、社会实践活动、 技能竞赛时，注重各种社会机构对学生综合素质的评价；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④学校引入相关企业的领导或技术人员、各专业的教学指导委员会成员和校外实习基地的领导或技术人员作为实施机构和评审机构的专家，对学生的综合素质做出评价。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学习评价体现评价主体、评价方式、评价内容的多元化。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①评价主体的多元化，建议采用任课教师评价、实训指导教师评价、学生自评、学生互评等方式进行。注重校内评价与校外评价相结合，注意吸收家长、幼儿园参与评价。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②评价方式的多元化，过程性评价与结果性评价相结合，采用学习过程评价、作业完成情况评价、实际操作评价、期末综合考核评价等多种方式。根据课程性质和教学要求，可以通过笔试、口试、实操、项目作业等方法，考核学生的专业知识、专业技能等方面的学习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③评价内容的多元化</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rPr>
        <w:t>学习评价不仅关注学生对知识的理解和技能的掌握，更要关注在实践中运用知识与解决实际问题的能力水平，重点突出对学生学习过程及实际能力的考核，突出对幼儿园教育教学能力的评价。重视专业理念与师德、专业能力等职业素质的形成。评价的内容可包括：学习态度、合作学习中的参与度（如</w:t>
      </w:r>
      <w:r>
        <w:rPr>
          <w:rFonts w:hint="eastAsia" w:ascii="仿宋_GB2312" w:hAnsi="宋体" w:eastAsia="仿宋_GB2312" w:cs="宋体"/>
          <w:color w:val="000000"/>
          <w:sz w:val="32"/>
          <w:szCs w:val="32"/>
          <w:lang w:eastAsia="zh-CN"/>
        </w:rPr>
        <w:t>教育</w:t>
      </w:r>
      <w:r>
        <w:rPr>
          <w:rFonts w:hint="eastAsia" w:ascii="仿宋_GB2312" w:hAnsi="宋体" w:eastAsia="仿宋_GB2312" w:cs="宋体"/>
          <w:color w:val="000000"/>
          <w:sz w:val="32"/>
          <w:szCs w:val="32"/>
        </w:rPr>
        <w:t>活动方案的设计、教育实习过程中的反思讨论）、阶段性的技能测试成绩（如</w:t>
      </w:r>
      <w:r>
        <w:rPr>
          <w:rFonts w:hint="eastAsia" w:ascii="仿宋_GB2312" w:hAnsi="宋体" w:eastAsia="仿宋_GB2312" w:cs="宋体"/>
          <w:color w:val="000000"/>
          <w:sz w:val="32"/>
          <w:szCs w:val="32"/>
          <w:lang w:eastAsia="zh-CN"/>
        </w:rPr>
        <w:t>讲故事</w:t>
      </w:r>
      <w:r>
        <w:rPr>
          <w:rFonts w:hint="eastAsia" w:ascii="仿宋_GB2312" w:hAnsi="宋体" w:eastAsia="仿宋_GB2312" w:cs="宋体"/>
          <w:color w:val="000000"/>
          <w:sz w:val="32"/>
          <w:szCs w:val="32"/>
        </w:rPr>
        <w:t>检查）等。另外要注意职业技能鉴定与学业考核相结合，参照《中小学和幼儿园教师资格考试标准（试行）》、《</w:t>
      </w:r>
      <w:r>
        <w:rPr>
          <w:rFonts w:hint="eastAsia" w:ascii="仿宋_GB2312" w:hAnsi="宋体" w:eastAsia="仿宋_GB2312" w:cs="宋体"/>
          <w:color w:val="000000"/>
          <w:sz w:val="32"/>
          <w:szCs w:val="32"/>
          <w:lang w:eastAsia="zh-CN"/>
        </w:rPr>
        <w:t>中小学</w:t>
      </w:r>
      <w:bookmarkStart w:id="12" w:name="_GoBack"/>
      <w:bookmarkEnd w:id="12"/>
      <w:r>
        <w:rPr>
          <w:rFonts w:hint="eastAsia" w:ascii="仿宋_GB2312" w:hAnsi="宋体" w:eastAsia="仿宋_GB2312" w:cs="宋体"/>
          <w:color w:val="000000"/>
          <w:sz w:val="32"/>
          <w:szCs w:val="32"/>
        </w:rPr>
        <w:t>教师专业标准（试行）》的相关要求进行学习评价。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6.准确定位培养目标，制定一体化人才培养方案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按照“共同制定培养目标、共同制定教学计划、共同制定评价方法”的思路制定中高职衔接的专业人才培养方案。中职学校负责实施前三年的学生管理工作和教学任务，其中第六学期为过渡学期；高职院校负责实施后两年的学生管理工作和教学任务。专业人才培养方案定位于培养生产、建设、服务、管理一线的技能型专门人才。制定人才培养方案应以培养高素质学生为主线，以培养本专业合格毕业生的目标为导向，立足教学过程，对教学模块选择配置、有效组合和合理排序，为学生提供一个毕业后多渠道发展的平台，实现人才培养方案的整体优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7.加强师资队伍建设，为人才培养质量提供条件保障。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对高职和衔接中职学校的师资进行整合，建设一支高水平的师资队伍是保障人才培养质量的核心。双师型教师是提高教育教学质量的关键；是增强院校竞争力的核心；是顺利实现中高职衔接、实现教育培养目标的根本保证。通过充分依托职业技能考试，获得相应职业资格证书；充分发挥职教集团的作用，实现校企联动；充分利用既有实训基地，提升实训指导能力等途径构建双师型师资队伍。双师型教师是职业教育对专业教师的特殊要求，也是实现高职人才培养目标对师资队伍建设提出的必然要求。在中高职衔接的过程中，我们必须充分认识构建双师型师资队伍的重要性和迫切性。学校领导高度重视，制定相应的激励政策，搭建平台、创造条件。专业教师更要加倍努力，不断进取，尽快构建一支具有职业特色的双师型师资队伍，实现中高职顺利衔接，为人才培养质量提供条件保障。</w:t>
      </w:r>
    </w:p>
    <w:p>
      <w:pPr>
        <w:pStyle w:val="5"/>
        <w:spacing w:line="560" w:lineRule="exact"/>
        <w:jc w:val="left"/>
        <w:rPr>
          <w:rFonts w:hint="eastAsia" w:ascii="黑体" w:hAnsi="黑体" w:eastAsia="黑体" w:cs="黑体"/>
          <w:b/>
          <w:bCs/>
          <w:sz w:val="32"/>
          <w:szCs w:val="32"/>
        </w:rPr>
      </w:pPr>
      <w:bookmarkStart w:id="11" w:name="_Toc10404_WPSOffice_Level1"/>
      <w:r>
        <w:rPr>
          <w:rFonts w:hint="eastAsia" w:ascii="黑体" w:hAnsi="黑体" w:eastAsia="黑体" w:cs="黑体"/>
          <w:b/>
          <w:bCs/>
          <w:sz w:val="32"/>
          <w:szCs w:val="32"/>
        </w:rPr>
        <w:t>十、毕业要求</w:t>
      </w:r>
      <w:bookmarkEnd w:id="1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lang w:eastAsia="zh-CN"/>
        </w:rPr>
      </w:pPr>
      <w:r>
        <w:rPr>
          <w:rFonts w:hint="eastAsia" w:ascii="仿宋_GB2312" w:hAnsi="宋体" w:eastAsia="仿宋_GB2312" w:cs="宋体"/>
          <w:color w:val="000000"/>
          <w:sz w:val="32"/>
          <w:szCs w:val="32"/>
        </w:rPr>
        <w:t>学生通过规定年限的学习，修完人才培养方案规定学时学分、完成规定的教学活动，达到以下目标</w:t>
      </w:r>
      <w:r>
        <w:rPr>
          <w:rFonts w:hint="eastAsia" w:ascii="仿宋_GB2312" w:hAnsi="宋体" w:eastAsia="仿宋_GB2312" w:cs="宋体"/>
          <w:color w:val="000000"/>
          <w:sz w:val="32"/>
          <w:szCs w:val="32"/>
          <w:lang w:eastAsia="zh-CN"/>
        </w:rPr>
        <w:t>：</w:t>
      </w:r>
    </w:p>
    <w:p>
      <w:pPr>
        <w:overflowPunct w:val="0"/>
        <w:adjustRightInd w:val="0"/>
        <w:ind w:firstLine="640" w:firstLineChars="200"/>
        <w:outlineLvl w:val="0"/>
        <w:rPr>
          <w:rFonts w:hint="eastAsia" w:eastAsia="楷体_GB2312"/>
          <w:b w:val="0"/>
          <w:bCs/>
          <w:sz w:val="32"/>
          <w:szCs w:val="32"/>
        </w:rPr>
      </w:pPr>
      <w:r>
        <w:rPr>
          <w:rFonts w:hint="eastAsia" w:eastAsia="楷体_GB2312"/>
          <w:b w:val="0"/>
          <w:bCs/>
          <w:sz w:val="32"/>
          <w:szCs w:val="32"/>
          <w:lang w:eastAsia="zh-CN"/>
        </w:rPr>
        <w:t>（一）</w:t>
      </w:r>
      <w:r>
        <w:rPr>
          <w:rFonts w:hint="eastAsia" w:eastAsia="楷体_GB2312"/>
          <w:b w:val="0"/>
          <w:bCs/>
          <w:sz w:val="32"/>
          <w:szCs w:val="32"/>
        </w:rPr>
        <w:t>在规定年限内修完规定课程，总学时不低于2500学时，经考试（核）成绩合格后，总学分不低于148学分。</w:t>
      </w:r>
    </w:p>
    <w:tbl>
      <w:tblPr>
        <w:tblStyle w:val="13"/>
        <w:tblpPr w:leftFromText="180" w:rightFromText="180" w:vertAnchor="text" w:tblpX="10426" w:tblpY="197"/>
        <w:tblOverlap w:val="never"/>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 w:hRule="atLeast"/>
        </w:trPr>
        <w:tc>
          <w:tcPr>
            <w:tcW w:w="924" w:type="dxa"/>
          </w:tcPr>
          <w:p>
            <w:pPr>
              <w:overflowPunct w:val="0"/>
              <w:adjustRightInd w:val="0"/>
              <w:ind w:firstLine="640" w:firstLineChars="200"/>
              <w:outlineLvl w:val="0"/>
              <w:rPr>
                <w:rFonts w:hint="eastAsia" w:eastAsia="楷体_GB2312"/>
                <w:b w:val="0"/>
                <w:bCs/>
                <w:sz w:val="32"/>
                <w:szCs w:val="32"/>
              </w:rPr>
            </w:pPr>
          </w:p>
        </w:tc>
      </w:tr>
    </w:tbl>
    <w:p>
      <w:pPr>
        <w:overflowPunct w:val="0"/>
        <w:adjustRightInd w:val="0"/>
        <w:ind w:firstLine="640" w:firstLineChars="200"/>
        <w:outlineLvl w:val="0"/>
        <w:rPr>
          <w:rFonts w:hint="eastAsia" w:eastAsia="楷体_GB2312"/>
          <w:b w:val="0"/>
          <w:bCs/>
          <w:sz w:val="32"/>
          <w:szCs w:val="32"/>
        </w:rPr>
      </w:pPr>
      <w:r>
        <w:rPr>
          <w:rFonts w:hint="eastAsia" w:eastAsia="楷体_GB2312"/>
          <w:b w:val="0"/>
          <w:bCs/>
          <w:sz w:val="32"/>
          <w:szCs w:val="32"/>
          <w:lang w:eastAsia="zh-CN"/>
        </w:rPr>
        <w:t>（二）</w:t>
      </w:r>
      <w:r>
        <w:rPr>
          <w:rFonts w:hint="eastAsia" w:eastAsia="楷体_GB2312"/>
          <w:b w:val="0"/>
          <w:bCs/>
          <w:sz w:val="32"/>
          <w:szCs w:val="32"/>
        </w:rPr>
        <w:t>必修课程（包括实践教学）的成绩全部合格。</w:t>
      </w:r>
    </w:p>
    <w:tbl>
      <w:tblPr>
        <w:tblStyle w:val="13"/>
        <w:tblpPr w:leftFromText="180" w:rightFromText="180" w:vertAnchor="text" w:tblpX="10426" w:tblpY="37"/>
        <w:tblOverlap w:val="never"/>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3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 w:hRule="atLeast"/>
        </w:trPr>
        <w:tc>
          <w:tcPr>
            <w:tcW w:w="1304" w:type="dxa"/>
          </w:tcPr>
          <w:p>
            <w:pPr>
              <w:overflowPunct w:val="0"/>
              <w:adjustRightInd w:val="0"/>
              <w:ind w:firstLine="640" w:firstLineChars="200"/>
              <w:outlineLvl w:val="0"/>
              <w:rPr>
                <w:rFonts w:hint="eastAsia" w:eastAsia="楷体_GB2312"/>
                <w:b w:val="0"/>
                <w:bCs/>
                <w:sz w:val="32"/>
                <w:szCs w:val="32"/>
              </w:rPr>
            </w:pPr>
          </w:p>
        </w:tc>
      </w:tr>
    </w:tbl>
    <w:p>
      <w:pPr>
        <w:overflowPunct w:val="0"/>
        <w:adjustRightInd w:val="0"/>
        <w:ind w:firstLine="640" w:firstLineChars="200"/>
        <w:outlineLvl w:val="0"/>
        <w:rPr>
          <w:rFonts w:hint="eastAsia" w:eastAsia="楷体_GB2312"/>
          <w:b w:val="0"/>
          <w:bCs/>
          <w:sz w:val="32"/>
          <w:szCs w:val="32"/>
        </w:rPr>
      </w:pPr>
      <w:r>
        <w:rPr>
          <w:rFonts w:hint="eastAsia" w:eastAsia="楷体_GB2312"/>
          <w:b w:val="0"/>
          <w:bCs/>
          <w:sz w:val="32"/>
          <w:szCs w:val="32"/>
          <w:lang w:eastAsia="zh-CN"/>
        </w:rPr>
        <w:t>（三）</w:t>
      </w:r>
      <w:r>
        <w:rPr>
          <w:rFonts w:hint="eastAsia" w:eastAsia="楷体_GB2312"/>
          <w:b w:val="0"/>
          <w:bCs/>
          <w:sz w:val="32"/>
          <w:szCs w:val="32"/>
        </w:rPr>
        <w:t>获取一至二项职业资格证书（普通话证、计算机等级证书）。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汉仪中黑简">
    <w:altName w:val="宋体"/>
    <w:panose1 w:val="00000000000000000000"/>
    <w:charset w:val="86"/>
    <w:family w:val="modern"/>
    <w:pitch w:val="default"/>
    <w:sig w:usb0="00000000" w:usb1="00000000" w:usb2="00000012" w:usb3="00000000" w:csb0="00040000" w:csb1="0000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FB6BDA"/>
    <w:multiLevelType w:val="multilevel"/>
    <w:tmpl w:val="2BFB6BDA"/>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362C617B"/>
    <w:multiLevelType w:val="multilevel"/>
    <w:tmpl w:val="362C617B"/>
    <w:lvl w:ilvl="0" w:tentative="0">
      <w:start w:val="1"/>
      <w:numFmt w:val="decimal"/>
      <w:lvlText w:val="%1"/>
      <w:lvlJc w:val="left"/>
      <w:pPr>
        <w:ind w:left="828" w:hanging="828"/>
      </w:pPr>
      <w:rPr>
        <w:rFonts w:hint="default"/>
      </w:rPr>
    </w:lvl>
    <w:lvl w:ilvl="1" w:tentative="0">
      <w:start w:val="1"/>
      <w:numFmt w:val="decimal"/>
      <w:lvlText w:val="%1-%2"/>
      <w:lvlJc w:val="left"/>
      <w:pPr>
        <w:ind w:left="828" w:hanging="828"/>
      </w:pPr>
      <w:rPr>
        <w:rFonts w:hint="default"/>
      </w:rPr>
    </w:lvl>
    <w:lvl w:ilvl="2" w:tentative="0">
      <w:start w:val="1"/>
      <w:numFmt w:val="decimal"/>
      <w:lvlText w:val="%1-%2-%3"/>
      <w:lvlJc w:val="left"/>
      <w:pPr>
        <w:ind w:left="828" w:hanging="828"/>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E2769"/>
    <w:rsid w:val="000353B9"/>
    <w:rsid w:val="00044395"/>
    <w:rsid w:val="00117B94"/>
    <w:rsid w:val="00140907"/>
    <w:rsid w:val="001D3F25"/>
    <w:rsid w:val="001F5E0C"/>
    <w:rsid w:val="00207838"/>
    <w:rsid w:val="0025611A"/>
    <w:rsid w:val="00286EC7"/>
    <w:rsid w:val="002B345C"/>
    <w:rsid w:val="002F2EC8"/>
    <w:rsid w:val="00417CC3"/>
    <w:rsid w:val="00451BB2"/>
    <w:rsid w:val="00481A8A"/>
    <w:rsid w:val="004E1B99"/>
    <w:rsid w:val="004E45C4"/>
    <w:rsid w:val="005220A9"/>
    <w:rsid w:val="005501DF"/>
    <w:rsid w:val="00561ED9"/>
    <w:rsid w:val="005843A6"/>
    <w:rsid w:val="006A6227"/>
    <w:rsid w:val="006D4B23"/>
    <w:rsid w:val="007366C4"/>
    <w:rsid w:val="007B4A26"/>
    <w:rsid w:val="00820179"/>
    <w:rsid w:val="008B44D7"/>
    <w:rsid w:val="008E2E5B"/>
    <w:rsid w:val="009146EE"/>
    <w:rsid w:val="00932102"/>
    <w:rsid w:val="00964B87"/>
    <w:rsid w:val="00A64E61"/>
    <w:rsid w:val="00B211C6"/>
    <w:rsid w:val="00B21252"/>
    <w:rsid w:val="00B53627"/>
    <w:rsid w:val="00B63417"/>
    <w:rsid w:val="00BA18B0"/>
    <w:rsid w:val="00BA7D99"/>
    <w:rsid w:val="00BC501A"/>
    <w:rsid w:val="00C56C3E"/>
    <w:rsid w:val="00C57448"/>
    <w:rsid w:val="00C827CB"/>
    <w:rsid w:val="00CA252D"/>
    <w:rsid w:val="00CB32D0"/>
    <w:rsid w:val="00CC378F"/>
    <w:rsid w:val="00D42E6C"/>
    <w:rsid w:val="00D65525"/>
    <w:rsid w:val="00D76C58"/>
    <w:rsid w:val="00DC286D"/>
    <w:rsid w:val="00DD227F"/>
    <w:rsid w:val="00E13675"/>
    <w:rsid w:val="00E14A7C"/>
    <w:rsid w:val="00E762D9"/>
    <w:rsid w:val="00F61CE1"/>
    <w:rsid w:val="00F727D5"/>
    <w:rsid w:val="00FE2769"/>
    <w:rsid w:val="245E7B58"/>
    <w:rsid w:val="5FC54C17"/>
    <w:rsid w:val="71AD5A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qFormat/>
    <w:uiPriority w:val="0"/>
    <w:pPr>
      <w:keepNext/>
      <w:keepLines/>
      <w:spacing w:beforeLines="50" w:afterLines="50" w:line="580" w:lineRule="exact"/>
      <w:jc w:val="center"/>
      <w:outlineLvl w:val="1"/>
    </w:pPr>
    <w:rPr>
      <w:rFonts w:ascii="Arial" w:hAnsi="Arial" w:eastAsia="汉仪中黑简" w:cs="Times New Roman"/>
      <w:bCs/>
      <w:sz w:val="32"/>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23"/>
    <w:qFormat/>
    <w:uiPriority w:val="0"/>
    <w:pPr>
      <w:spacing w:after="120"/>
      <w:ind w:left="420" w:leftChars="200"/>
    </w:pPr>
    <w:rPr>
      <w:rFonts w:ascii="Times New Roman" w:hAnsi="Times New Roman" w:eastAsia="宋体" w:cs="Times New Roman"/>
      <w:szCs w:val="24"/>
    </w:rPr>
  </w:style>
  <w:style w:type="paragraph" w:styleId="5">
    <w:name w:val="Plain Text"/>
    <w:basedOn w:val="1"/>
    <w:link w:val="21"/>
    <w:qFormat/>
    <w:uiPriority w:val="0"/>
    <w:rPr>
      <w:rFonts w:ascii="宋体" w:hAnsi="Courier New" w:eastAsia="宋体" w:cs="Times New Roman"/>
      <w:szCs w:val="24"/>
    </w:rPr>
  </w:style>
  <w:style w:type="paragraph" w:styleId="6">
    <w:name w:val="Balloon Text"/>
    <w:basedOn w:val="1"/>
    <w:link w:val="20"/>
    <w:semiHidden/>
    <w:unhideWhenUsed/>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iPriority w:val="39"/>
    <w:rPr>
      <w:rFonts w:ascii="Calibri" w:hAnsi="Calibri" w:eastAsia="宋体" w:cs="Times New Roman"/>
    </w:rPr>
  </w:style>
  <w:style w:type="paragraph" w:styleId="10">
    <w:name w:val="toc 2"/>
    <w:basedOn w:val="1"/>
    <w:next w:val="1"/>
    <w:uiPriority w:val="39"/>
    <w:pPr>
      <w:ind w:left="420" w:leftChars="200"/>
    </w:pPr>
    <w:rPr>
      <w:rFonts w:ascii="Calibri" w:hAnsi="Calibri" w:eastAsia="宋体" w:cs="Times New Roman"/>
    </w:rPr>
  </w:style>
  <w:style w:type="paragraph" w:styleId="11">
    <w:name w:val="Normal (Web)"/>
    <w:basedOn w:val="1"/>
    <w:qFormat/>
    <w:uiPriority w:val="99"/>
    <w:pPr>
      <w:spacing w:before="105" w:after="210"/>
      <w:jc w:val="left"/>
    </w:pPr>
    <w:rPr>
      <w:rFonts w:cs="Times New Roman"/>
      <w:kern w:val="0"/>
      <w:szCs w:val="21"/>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bCs/>
    </w:rPr>
  </w:style>
  <w:style w:type="character" w:styleId="16">
    <w:name w:val="Hyperlink"/>
    <w:uiPriority w:val="99"/>
    <w:rPr>
      <w:color w:val="000000"/>
      <w:sz w:val="18"/>
      <w:szCs w:val="18"/>
      <w:u w:val="none"/>
    </w:rPr>
  </w:style>
  <w:style w:type="paragraph" w:customStyle="1" w:styleId="17">
    <w:name w:val="msonormal"/>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8">
    <w:name w:val="页眉 Char"/>
    <w:basedOn w:val="14"/>
    <w:link w:val="8"/>
    <w:uiPriority w:val="0"/>
    <w:rPr>
      <w:sz w:val="18"/>
      <w:szCs w:val="18"/>
    </w:rPr>
  </w:style>
  <w:style w:type="character" w:customStyle="1" w:styleId="19">
    <w:name w:val="页脚 Char"/>
    <w:basedOn w:val="14"/>
    <w:link w:val="7"/>
    <w:qFormat/>
    <w:uiPriority w:val="99"/>
    <w:rPr>
      <w:sz w:val="18"/>
      <w:szCs w:val="18"/>
    </w:rPr>
  </w:style>
  <w:style w:type="character" w:customStyle="1" w:styleId="20">
    <w:name w:val="批注框文本 Char"/>
    <w:basedOn w:val="14"/>
    <w:link w:val="6"/>
    <w:semiHidden/>
    <w:uiPriority w:val="99"/>
    <w:rPr>
      <w:kern w:val="2"/>
      <w:sz w:val="18"/>
      <w:szCs w:val="18"/>
    </w:rPr>
  </w:style>
  <w:style w:type="character" w:customStyle="1" w:styleId="21">
    <w:name w:val="纯文本 Char"/>
    <w:basedOn w:val="14"/>
    <w:link w:val="5"/>
    <w:qFormat/>
    <w:uiPriority w:val="0"/>
    <w:rPr>
      <w:rFonts w:ascii="宋体" w:hAnsi="Courier New" w:eastAsia="宋体" w:cs="Times New Roman"/>
      <w:kern w:val="2"/>
      <w:sz w:val="21"/>
      <w:szCs w:val="24"/>
    </w:rPr>
  </w:style>
  <w:style w:type="character" w:customStyle="1" w:styleId="22">
    <w:name w:val="标题 2 Char"/>
    <w:basedOn w:val="14"/>
    <w:link w:val="3"/>
    <w:qFormat/>
    <w:uiPriority w:val="0"/>
    <w:rPr>
      <w:rFonts w:ascii="Arial" w:hAnsi="Arial" w:eastAsia="汉仪中黑简" w:cs="Times New Roman"/>
      <w:bCs/>
      <w:kern w:val="2"/>
      <w:sz w:val="32"/>
      <w:szCs w:val="32"/>
    </w:rPr>
  </w:style>
  <w:style w:type="character" w:customStyle="1" w:styleId="23">
    <w:name w:val="正文文本缩进 Char"/>
    <w:basedOn w:val="14"/>
    <w:link w:val="4"/>
    <w:qFormat/>
    <w:uiPriority w:val="0"/>
    <w:rPr>
      <w:rFonts w:ascii="Times New Roman" w:hAnsi="Times New Roman" w:eastAsia="宋体" w:cs="Times New Roman"/>
      <w:kern w:val="2"/>
      <w:sz w:val="21"/>
      <w:szCs w:val="24"/>
    </w:rPr>
  </w:style>
  <w:style w:type="character" w:customStyle="1" w:styleId="24">
    <w:name w:val="标题 1 Char"/>
    <w:basedOn w:val="14"/>
    <w:link w:val="2"/>
    <w:uiPriority w:val="9"/>
    <w:rPr>
      <w:b/>
      <w:bCs/>
      <w:kern w:val="44"/>
      <w:sz w:val="44"/>
      <w:szCs w:val="44"/>
    </w:rPr>
  </w:style>
  <w:style w:type="paragraph" w:customStyle="1" w:styleId="25">
    <w:name w:val="TOC Heading"/>
    <w:basedOn w:val="2"/>
    <w:next w:val="1"/>
    <w:qFormat/>
    <w:uiPriority w:val="39"/>
    <w:pPr>
      <w:widowControl/>
      <w:spacing w:before="0" w:after="0" w:line="259" w:lineRule="auto"/>
      <w:jc w:val="left"/>
      <w:outlineLvl w:val="9"/>
    </w:pPr>
    <w:rPr>
      <w:rFonts w:ascii="Calibri Light" w:hAnsi="Calibri Light" w:eastAsia="仿宋_GB2312" w:cs="Times New Roman"/>
      <w:b w:val="0"/>
      <w:bCs w:val="0"/>
      <w:color w:val="2E74B5"/>
      <w:kern w:val="0"/>
      <w:sz w:val="32"/>
      <w:szCs w:val="32"/>
      <w:lang w:eastAsia="en-US"/>
    </w:rPr>
  </w:style>
  <w:style w:type="paragraph" w:styleId="26">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24</Pages>
  <Words>1954</Words>
  <Characters>11141</Characters>
  <Lines>92</Lines>
  <Paragraphs>26</Paragraphs>
  <TotalTime>391</TotalTime>
  <ScaleCrop>false</ScaleCrop>
  <LinksUpToDate>false</LinksUpToDate>
  <CharactersWithSpaces>13069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2021-05-03T01:04:00Z</dcterms:created>
  <dc:creator>李振</dc:creator>
  <cp:lastModifiedBy>迟政华</cp:lastModifiedBy>
  <cp:lastPrinted>2021-08-18T06:19:00Z</cp:lastPrinted>
  <dcterms:modified xsi:type="dcterms:W3CDTF">2021-08-21T15:56:46Z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BE90FE71020740AEB76C6B54A24DC850</vt:lpwstr>
  </property>
</Properties>
</file>